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C21C" w14:textId="77777777" w:rsidR="00E8422B" w:rsidRPr="000269A4" w:rsidRDefault="003B6C39" w:rsidP="00F47D9E">
      <w:pPr>
        <w:pBdr>
          <w:top w:val="single" w:sz="4" w:space="1" w:color="auto"/>
          <w:left w:val="single" w:sz="4" w:space="4" w:color="auto"/>
          <w:bottom w:val="single" w:sz="4" w:space="1" w:color="auto"/>
          <w:right w:val="single" w:sz="4" w:space="4" w:color="auto"/>
        </w:pBdr>
        <w:bidi/>
        <w:jc w:val="center"/>
        <w:rPr>
          <w:b/>
          <w:bCs/>
          <w:sz w:val="24"/>
          <w:szCs w:val="24"/>
          <w:rtl/>
        </w:rPr>
      </w:pPr>
      <w:r w:rsidRPr="000269A4">
        <w:rPr>
          <w:rFonts w:hint="cs"/>
          <w:b/>
          <w:bCs/>
          <w:sz w:val="24"/>
          <w:szCs w:val="24"/>
          <w:rtl/>
        </w:rPr>
        <w:t>مدونة السلوك الخاصة بالمتعاقدين</w:t>
      </w:r>
    </w:p>
    <w:p w14:paraId="37BBC21D" w14:textId="77777777" w:rsidR="003B6C39" w:rsidRPr="000269A4" w:rsidRDefault="00F47D9E" w:rsidP="00F47D9E">
      <w:pPr>
        <w:pBdr>
          <w:top w:val="single" w:sz="4" w:space="1" w:color="auto"/>
          <w:left w:val="single" w:sz="4" w:space="4" w:color="auto"/>
          <w:bottom w:val="single" w:sz="4" w:space="1" w:color="auto"/>
          <w:right w:val="single" w:sz="4" w:space="4" w:color="auto"/>
        </w:pBdr>
        <w:bidi/>
        <w:jc w:val="center"/>
        <w:rPr>
          <w:sz w:val="24"/>
          <w:szCs w:val="24"/>
          <w:rtl/>
        </w:rPr>
      </w:pPr>
      <w:r w:rsidRPr="000269A4">
        <w:rPr>
          <w:rFonts w:hint="cs"/>
          <w:b/>
          <w:bCs/>
          <w:sz w:val="24"/>
          <w:szCs w:val="24"/>
          <w:rtl/>
        </w:rPr>
        <w:t>المبادئ والمعايير الأ</w:t>
      </w:r>
      <w:r w:rsidR="003B6C39" w:rsidRPr="000269A4">
        <w:rPr>
          <w:rFonts w:hint="cs"/>
          <w:b/>
          <w:bCs/>
          <w:sz w:val="24"/>
          <w:szCs w:val="24"/>
          <w:rtl/>
        </w:rPr>
        <w:t>خلاقية</w:t>
      </w:r>
    </w:p>
    <w:p w14:paraId="37BBC21E" w14:textId="77777777" w:rsidR="00897D99" w:rsidRPr="000269A4" w:rsidRDefault="00897D99" w:rsidP="00F47D9E">
      <w:pPr>
        <w:bidi/>
        <w:jc w:val="both"/>
        <w:rPr>
          <w:b/>
          <w:bCs/>
          <w:sz w:val="24"/>
          <w:szCs w:val="24"/>
          <w:rtl/>
        </w:rPr>
        <w:sectPr w:rsidR="00897D99" w:rsidRPr="000269A4" w:rsidSect="00E8422B">
          <w:pgSz w:w="12240" w:h="15840"/>
          <w:pgMar w:top="1440" w:right="1800" w:bottom="1440" w:left="1800" w:header="720" w:footer="720" w:gutter="0"/>
          <w:cols w:space="720"/>
          <w:docGrid w:linePitch="360"/>
        </w:sectPr>
      </w:pPr>
    </w:p>
    <w:p w14:paraId="37BBC21F" w14:textId="77777777" w:rsidR="000269A4" w:rsidRPr="000269A4" w:rsidRDefault="000269A4" w:rsidP="00F47D9E">
      <w:pPr>
        <w:bidi/>
        <w:jc w:val="both"/>
        <w:rPr>
          <w:b/>
          <w:bCs/>
          <w:sz w:val="24"/>
          <w:szCs w:val="24"/>
          <w:rtl/>
        </w:rPr>
      </w:pPr>
      <w:r w:rsidRPr="000269A4">
        <w:rPr>
          <w:rFonts w:cs="Arial"/>
          <w:b/>
          <w:bCs/>
          <w:noProof/>
          <w:sz w:val="24"/>
          <w:szCs w:val="24"/>
          <w:rtl/>
          <w:lang w:val="da-DK" w:eastAsia="da-DK"/>
        </w:rPr>
        <w:drawing>
          <wp:inline distT="0" distB="0" distL="0" distR="0" wp14:anchorId="37BBC2CB" wp14:editId="55670700">
            <wp:extent cx="5534107" cy="122803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06CAF17A" w14:textId="77777777" w:rsidR="006078FD" w:rsidRDefault="006078FD" w:rsidP="000269A4">
      <w:pPr>
        <w:bidi/>
        <w:jc w:val="both"/>
        <w:rPr>
          <w:b/>
          <w:bCs/>
          <w:sz w:val="24"/>
          <w:szCs w:val="24"/>
          <w:rtl/>
        </w:rPr>
        <w:sectPr w:rsidR="006078FD" w:rsidSect="00F81528">
          <w:type w:val="continuous"/>
          <w:pgSz w:w="12240" w:h="15840"/>
          <w:pgMar w:top="1440" w:right="1800" w:bottom="1440" w:left="1800" w:header="720" w:footer="720" w:gutter="0"/>
          <w:cols w:space="720"/>
          <w:bidi/>
          <w:docGrid w:linePitch="360"/>
        </w:sectPr>
      </w:pPr>
    </w:p>
    <w:p w14:paraId="37BBC220" w14:textId="6DBD008C" w:rsidR="003B6C39" w:rsidRPr="006078FD" w:rsidRDefault="003B6C39" w:rsidP="000269A4">
      <w:pPr>
        <w:bidi/>
        <w:jc w:val="both"/>
        <w:rPr>
          <w:rFonts w:ascii="Arial" w:hAnsi="Arial" w:cs="Arial"/>
          <w:sz w:val="14"/>
          <w:szCs w:val="14"/>
          <w:rtl/>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37BBC224" w14:textId="60E69713" w:rsidR="000269A4" w:rsidRPr="006078FD" w:rsidRDefault="003B6C39" w:rsidP="000269A4">
      <w:pPr>
        <w:bidi/>
        <w:jc w:val="both"/>
        <w:rPr>
          <w:rFonts w:ascii="Arial" w:hAnsi="Arial" w:cs="Arial"/>
          <w:sz w:val="14"/>
          <w:szCs w:val="14"/>
          <w:rtl/>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37BBC225" w14:textId="77777777" w:rsidR="003B6C39" w:rsidRPr="006078FD" w:rsidRDefault="003B6C39" w:rsidP="00F47D9E">
      <w:pPr>
        <w:bidi/>
        <w:jc w:val="both"/>
        <w:rPr>
          <w:rFonts w:ascii="Arial" w:hAnsi="Arial" w:cs="Arial"/>
          <w:b/>
          <w:bCs/>
          <w:sz w:val="14"/>
          <w:szCs w:val="14"/>
          <w:rtl/>
        </w:rPr>
      </w:pPr>
      <w:r w:rsidRPr="006078FD">
        <w:rPr>
          <w:rFonts w:ascii="Arial" w:hAnsi="Arial" w:cs="Arial"/>
          <w:b/>
          <w:bCs/>
          <w:sz w:val="14"/>
          <w:szCs w:val="14"/>
          <w:rtl/>
        </w:rPr>
        <w:t>الشروط العامة</w:t>
      </w:r>
    </w:p>
    <w:p w14:paraId="37BBC227" w14:textId="77777777" w:rsidR="003B6C39" w:rsidRPr="006078FD" w:rsidRDefault="003B6C39" w:rsidP="00F47D9E">
      <w:pPr>
        <w:bidi/>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37BBC229" w14:textId="77777777" w:rsidR="000269A4" w:rsidRPr="006078FD" w:rsidRDefault="003B6C39" w:rsidP="000269A4">
      <w:pPr>
        <w:bidi/>
        <w:jc w:val="both"/>
        <w:rPr>
          <w:rFonts w:ascii="Arial" w:hAnsi="Arial" w:cs="Arial"/>
          <w:sz w:val="14"/>
          <w:szCs w:val="14"/>
          <w:rtl/>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37BBC22B" w14:textId="77777777" w:rsidR="003B6C39" w:rsidRPr="006078FD" w:rsidRDefault="003B6C39" w:rsidP="000269A4">
      <w:pPr>
        <w:bidi/>
        <w:jc w:val="both"/>
        <w:rPr>
          <w:rFonts w:ascii="Arial" w:hAnsi="Arial" w:cs="Arial"/>
          <w:sz w:val="14"/>
          <w:szCs w:val="14"/>
          <w:rtl/>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37BBC22D" w14:textId="77777777" w:rsidR="003B6C39" w:rsidRPr="006078FD" w:rsidRDefault="003B6C39" w:rsidP="00F47D9E">
      <w:pPr>
        <w:bidi/>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37BBC22F" w14:textId="77777777" w:rsidR="009E5F54" w:rsidRPr="006078FD" w:rsidRDefault="009E5F54" w:rsidP="00F47D9E">
      <w:pPr>
        <w:bidi/>
        <w:jc w:val="both"/>
        <w:rPr>
          <w:rFonts w:ascii="Arial" w:hAnsi="Arial" w:cs="Arial"/>
          <w:sz w:val="14"/>
          <w:szCs w:val="14"/>
          <w:rtl/>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37BBC232" w14:textId="3EA6CA3B" w:rsidR="000269A4" w:rsidRPr="006078FD" w:rsidRDefault="009E5F54" w:rsidP="000269A4">
      <w:pPr>
        <w:bidi/>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37BBC235" w14:textId="42A12B0D" w:rsidR="000269A4" w:rsidRPr="006078FD" w:rsidRDefault="009E5F54" w:rsidP="000269A4">
      <w:pPr>
        <w:bidi/>
        <w:jc w:val="both"/>
        <w:rPr>
          <w:rFonts w:ascii="Arial" w:hAnsi="Arial" w:cs="Arial"/>
          <w:sz w:val="14"/>
          <w:szCs w:val="14"/>
          <w:rtl/>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w:t>
      </w:r>
      <w:r w:rsidR="00F81528" w:rsidRPr="006078FD">
        <w:rPr>
          <w:rFonts w:ascii="Arial" w:hAnsi="Arial" w:cs="Arial"/>
          <w:sz w:val="14"/>
          <w:szCs w:val="14"/>
          <w:rtl/>
        </w:rPr>
        <w:t xml:space="preserve"> وكحد</w:t>
      </w:r>
      <w:r w:rsidRPr="006078FD">
        <w:rPr>
          <w:rFonts w:ascii="Arial" w:hAnsi="Arial" w:cs="Arial"/>
          <w:sz w:val="14"/>
          <w:szCs w:val="14"/>
          <w:rtl/>
        </w:rPr>
        <w:t xml:space="preserve"> أدنى ينبغي عليهم الالتزام بالمعايير الأخلاقية التالية:</w:t>
      </w:r>
    </w:p>
    <w:p w14:paraId="37BBC236" w14:textId="77777777" w:rsidR="009E5F54" w:rsidRPr="006078FD" w:rsidRDefault="009E5F54" w:rsidP="00F47D9E">
      <w:pPr>
        <w:pStyle w:val="ListParagraph"/>
        <w:numPr>
          <w:ilvl w:val="0"/>
          <w:numId w:val="1"/>
        </w:numPr>
        <w:bidi/>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37BBC237" w14:textId="77777777" w:rsidR="009E5F54" w:rsidRPr="006078FD" w:rsidRDefault="009E5F54" w:rsidP="00775F5E">
      <w:pPr>
        <w:bidi/>
        <w:jc w:val="both"/>
        <w:rPr>
          <w:rFonts w:ascii="Arial" w:hAnsi="Arial" w:cs="Arial"/>
          <w:sz w:val="14"/>
          <w:szCs w:val="14"/>
          <w:rtl/>
        </w:rPr>
      </w:pPr>
      <w:r w:rsidRPr="006078FD">
        <w:rPr>
          <w:rFonts w:ascii="Arial" w:hAnsi="Arial" w:cs="Arial"/>
          <w:sz w:val="14"/>
          <w:szCs w:val="14"/>
          <w:rtl/>
        </w:rPr>
        <w:t>المبادئ الأساسية للإعلان العالمي لح</w:t>
      </w:r>
      <w:r w:rsidR="00B37C4C" w:rsidRPr="006078FD">
        <w:rPr>
          <w:rFonts w:ascii="Arial" w:hAnsi="Arial" w:cs="Arial"/>
          <w:sz w:val="14"/>
          <w:szCs w:val="14"/>
          <w:rtl/>
        </w:rPr>
        <w:t>قوق الإنسان هي أن جميع البشر يول</w:t>
      </w:r>
      <w:r w:rsidRPr="006078FD">
        <w:rPr>
          <w:rFonts w:ascii="Arial" w:hAnsi="Arial" w:cs="Arial"/>
          <w:sz w:val="14"/>
          <w:szCs w:val="14"/>
          <w:rtl/>
        </w:rPr>
        <w:t xml:space="preserve">دون أحرارا ومتساوين في الكرامة وفي الحقوق وأن لكل شخص الحق في الحياة والحرية والأمن </w:t>
      </w:r>
      <w:r w:rsidRPr="006078FD">
        <w:rPr>
          <w:rFonts w:ascii="Arial" w:hAnsi="Arial" w:cs="Arial"/>
          <w:sz w:val="14"/>
          <w:szCs w:val="14"/>
          <w:rtl/>
        </w:rPr>
        <w:lastRenderedPageBreak/>
        <w:t>الشخصي. يجب على المقاولين ألا يقصروا في مسئوليتهم في حماية حقوق الإنسان والمحافظة عليها تجاه موظفيهم وتجاه المجتمع الذي يعملون فيه.</w:t>
      </w:r>
    </w:p>
    <w:p w14:paraId="04121C83" w14:textId="53E8A69D" w:rsidR="00775F5E" w:rsidRPr="00775F5E" w:rsidRDefault="009E5F54" w:rsidP="00775F5E">
      <w:pPr>
        <w:pStyle w:val="ListParagraph"/>
        <w:numPr>
          <w:ilvl w:val="0"/>
          <w:numId w:val="1"/>
        </w:numPr>
        <w:bidi/>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 xml:space="preserve">(معاهدة حقوق الطفل الصادرة عن الأمم المتحدة ومعاهدة منظمة العمل الدولية </w:t>
      </w:r>
      <w:r w:rsidR="006078FD" w:rsidRPr="006078FD">
        <w:rPr>
          <w:rFonts w:ascii="Arial" w:hAnsi="Arial" w:cs="Arial"/>
          <w:sz w:val="14"/>
          <w:szCs w:val="14"/>
          <w:rtl/>
        </w:rPr>
        <w:t>(</w:t>
      </w:r>
      <w:r w:rsidRPr="006078FD">
        <w:rPr>
          <w:rFonts w:ascii="Arial" w:hAnsi="Arial" w:cs="Arial"/>
          <w:sz w:val="14"/>
          <w:szCs w:val="14"/>
        </w:rPr>
        <w:t>C138 &amp; C182</w:t>
      </w:r>
      <w:r w:rsidRPr="006078FD">
        <w:rPr>
          <w:rFonts w:ascii="Arial" w:hAnsi="Arial" w:cs="Arial"/>
          <w:sz w:val="14"/>
          <w:szCs w:val="14"/>
          <w:rtl/>
        </w:rPr>
        <w:t>)</w:t>
      </w:r>
    </w:p>
    <w:p w14:paraId="37BBC23D" w14:textId="08252948" w:rsidR="000269A4" w:rsidRPr="00775F5E" w:rsidRDefault="009E5F54" w:rsidP="00775F5E">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w:t>
      </w:r>
      <w:r w:rsidR="00F81528" w:rsidRPr="00775F5E">
        <w:rPr>
          <w:rFonts w:ascii="Arial" w:hAnsi="Arial" w:cs="Arial"/>
          <w:sz w:val="14"/>
          <w:szCs w:val="14"/>
          <w:rtl/>
        </w:rPr>
        <w:t>بأعمال</w:t>
      </w:r>
      <w:r w:rsidRPr="00775F5E">
        <w:rPr>
          <w:rFonts w:ascii="Arial" w:hAnsi="Arial" w:cs="Arial"/>
          <w:sz w:val="14"/>
          <w:szCs w:val="14"/>
          <w:rtl/>
        </w:rPr>
        <w:t xml:space="preserve"> خفيفة إذا كانت لا تؤثر على دراستهم المدرسة الإلزامية وإذا لم تكن تضر بصحتهم أو بنمائهم.</w:t>
      </w:r>
    </w:p>
    <w:p w14:paraId="0DC9F474" w14:textId="77777777" w:rsidR="00775F5E" w:rsidRPr="00775F5E" w:rsidRDefault="00971F78" w:rsidP="00F47D9E">
      <w:pPr>
        <w:pStyle w:val="ListParagraph"/>
        <w:numPr>
          <w:ilvl w:val="0"/>
          <w:numId w:val="1"/>
        </w:numPr>
        <w:bidi/>
        <w:jc w:val="both"/>
        <w:rPr>
          <w:rFonts w:ascii="Arial" w:hAnsi="Arial" w:cs="Arial"/>
          <w:i/>
          <w:iCs/>
          <w:sz w:val="14"/>
          <w:szCs w:val="14"/>
        </w:rPr>
      </w:pPr>
      <w:r w:rsidRPr="006078FD">
        <w:rPr>
          <w:rFonts w:ascii="Arial" w:hAnsi="Arial" w:cs="Arial"/>
          <w:i/>
          <w:iCs/>
          <w:sz w:val="14"/>
          <w:szCs w:val="14"/>
          <w:rtl/>
        </w:rPr>
        <w:t>يجب اختيار العمل بحرية</w:t>
      </w:r>
      <w:r w:rsidR="009E5F54" w:rsidRPr="006078FD">
        <w:rPr>
          <w:rFonts w:ascii="Arial" w:hAnsi="Arial" w:cs="Arial"/>
          <w:i/>
          <w:iCs/>
          <w:sz w:val="14"/>
          <w:szCs w:val="14"/>
          <w:rtl/>
        </w:rPr>
        <w:t xml:space="preserve">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37BBC241" w14:textId="4A06D908" w:rsidR="000269A4" w:rsidRPr="00775F5E" w:rsidRDefault="00971F78" w:rsidP="00775F5E">
      <w:pPr>
        <w:bidi/>
        <w:jc w:val="both"/>
        <w:rPr>
          <w:rFonts w:ascii="Arial" w:hAnsi="Arial" w:cs="Arial"/>
          <w:i/>
          <w:iCs/>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37BBC242" w14:textId="2CAB3E1C" w:rsidR="00971F78" w:rsidRPr="006078FD" w:rsidRDefault="00971F78" w:rsidP="00F47D9E">
      <w:pPr>
        <w:pStyle w:val="ListParagraph"/>
        <w:numPr>
          <w:ilvl w:val="0"/>
          <w:numId w:val="1"/>
        </w:numPr>
        <w:bidi/>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 xml:space="preserve">(اتفاقية منظمة العمل الدولية </w:t>
      </w:r>
      <w:r w:rsidR="006078FD" w:rsidRPr="006078FD">
        <w:rPr>
          <w:rFonts w:ascii="Arial" w:hAnsi="Arial" w:cs="Arial"/>
          <w:sz w:val="14"/>
          <w:szCs w:val="14"/>
          <w:rtl/>
        </w:rPr>
        <w:t>(</w:t>
      </w:r>
      <w:r w:rsidRPr="006078FD">
        <w:rPr>
          <w:rFonts w:ascii="Arial" w:hAnsi="Arial" w:cs="Arial"/>
          <w:sz w:val="14"/>
          <w:szCs w:val="14"/>
        </w:rPr>
        <w:t>C87 &amp; C98</w:t>
      </w:r>
      <w:r w:rsidRPr="006078FD">
        <w:rPr>
          <w:rFonts w:ascii="Arial" w:hAnsi="Arial" w:cs="Arial"/>
          <w:sz w:val="14"/>
          <w:szCs w:val="14"/>
          <w:rtl/>
        </w:rPr>
        <w:t>)</w:t>
      </w:r>
    </w:p>
    <w:p w14:paraId="37BBC246" w14:textId="6DA9A264" w:rsidR="000269A4" w:rsidRPr="00775F5E" w:rsidRDefault="00971F78" w:rsidP="00775F5E">
      <w:pPr>
        <w:bidi/>
        <w:jc w:val="both"/>
        <w:rPr>
          <w:rFonts w:ascii="Arial" w:hAnsi="Arial" w:cs="Arial"/>
          <w:sz w:val="14"/>
          <w:szCs w:val="14"/>
          <w:rtl/>
        </w:rPr>
      </w:pPr>
      <w:r w:rsidRPr="00775F5E">
        <w:rPr>
          <w:rFonts w:ascii="Arial" w:hAnsi="Arial" w:cs="Arial"/>
          <w:sz w:val="14"/>
          <w:szCs w:val="14"/>
          <w:rtl/>
        </w:rPr>
        <w:t xml:space="preserve">يجب على المقاولين أن يقروا بحق العاملين في الانضمام إلى النقابات العمالية أو تشكيلها وفي التفاوض بشكل جماعي ويجب عليهم أن يتبنوا </w:t>
      </w:r>
      <w:r w:rsidR="00F81528" w:rsidRPr="00775F5E">
        <w:rPr>
          <w:rFonts w:ascii="Arial" w:hAnsi="Arial" w:cs="Arial"/>
          <w:sz w:val="14"/>
          <w:szCs w:val="14"/>
          <w:rtl/>
        </w:rPr>
        <w:t>سياسة</w:t>
      </w:r>
      <w:r w:rsidRPr="00775F5E">
        <w:rPr>
          <w:rFonts w:ascii="Arial" w:hAnsi="Arial" w:cs="Arial"/>
          <w:sz w:val="14"/>
          <w:szCs w:val="14"/>
          <w:rtl/>
        </w:rPr>
        <w:t xml:space="preserve"> الانفتاج تجاه نشاطات النقابات العمالية (حتى وإن كان هذا الأمر مقيدا بموجب القوانين الوطنية).</w:t>
      </w:r>
    </w:p>
    <w:p w14:paraId="37BBC247" w14:textId="77777777" w:rsidR="00A676F3" w:rsidRPr="006078FD" w:rsidRDefault="00A676F3" w:rsidP="00F47D9E">
      <w:pPr>
        <w:pStyle w:val="ListParagraph"/>
        <w:numPr>
          <w:ilvl w:val="0"/>
          <w:numId w:val="1"/>
        </w:numPr>
        <w:bidi/>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37BBC24B" w14:textId="7B783440" w:rsidR="000269A4" w:rsidRPr="006078FD" w:rsidRDefault="00A676F3" w:rsidP="00775F5E">
      <w:pPr>
        <w:bidi/>
        <w:jc w:val="both"/>
        <w:rPr>
          <w:rFonts w:ascii="Arial" w:hAnsi="Arial" w:cs="Arial"/>
          <w:sz w:val="14"/>
          <w:szCs w:val="14"/>
          <w:rtl/>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37BBC24C" w14:textId="77777777" w:rsidR="00A676F3" w:rsidRPr="006078FD" w:rsidRDefault="00A676F3" w:rsidP="00F47D9E">
      <w:pPr>
        <w:pStyle w:val="ListParagraph"/>
        <w:numPr>
          <w:ilvl w:val="0"/>
          <w:numId w:val="1"/>
        </w:numPr>
        <w:bidi/>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37BBC250" w14:textId="3E158D2F" w:rsidR="000269A4" w:rsidRPr="006078FD" w:rsidRDefault="00A676F3" w:rsidP="00775F5E">
      <w:pPr>
        <w:bidi/>
        <w:jc w:val="both"/>
        <w:rPr>
          <w:rFonts w:ascii="Arial" w:hAnsi="Arial" w:cs="Arial"/>
          <w:sz w:val="14"/>
          <w:szCs w:val="14"/>
          <w:rtl/>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37BBC251" w14:textId="77777777" w:rsidR="00A676F3" w:rsidRPr="006078FD" w:rsidRDefault="00A676F3" w:rsidP="00F47D9E">
      <w:pPr>
        <w:pStyle w:val="ListParagraph"/>
        <w:numPr>
          <w:ilvl w:val="0"/>
          <w:numId w:val="1"/>
        </w:numPr>
        <w:bidi/>
        <w:jc w:val="both"/>
        <w:rPr>
          <w:rFonts w:ascii="Arial" w:hAnsi="Arial" w:cs="Arial"/>
          <w:sz w:val="14"/>
          <w:szCs w:val="14"/>
        </w:rPr>
      </w:pPr>
      <w:r w:rsidRPr="006078FD">
        <w:rPr>
          <w:rFonts w:ascii="Arial" w:hAnsi="Arial" w:cs="Arial"/>
          <w:sz w:val="14"/>
          <w:szCs w:val="14"/>
          <w:rtl/>
        </w:rPr>
        <w:lastRenderedPageBreak/>
        <w:t>الامتناع عن المعاملة القاسية أو اللا إنسانية تجاه الموظفين</w:t>
      </w:r>
    </w:p>
    <w:p w14:paraId="37BBC255" w14:textId="527AC05E" w:rsidR="000269A4" w:rsidRPr="006078FD" w:rsidRDefault="00A676F3" w:rsidP="00775F5E">
      <w:pPr>
        <w:bidi/>
        <w:jc w:val="both"/>
        <w:rPr>
          <w:rFonts w:ascii="Arial" w:hAnsi="Arial" w:cs="Arial"/>
          <w:sz w:val="14"/>
          <w:szCs w:val="14"/>
          <w:rtl/>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37BBC256" w14:textId="77777777" w:rsidR="00A676F3" w:rsidRPr="006078FD" w:rsidRDefault="00A676F3" w:rsidP="00F47D9E">
      <w:pPr>
        <w:pStyle w:val="ListParagraph"/>
        <w:numPr>
          <w:ilvl w:val="0"/>
          <w:numId w:val="1"/>
        </w:numPr>
        <w:bidi/>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37BBC25A" w14:textId="3D821B5C" w:rsidR="000269A4" w:rsidRPr="006078FD" w:rsidRDefault="00A676F3" w:rsidP="00775F5E">
      <w:pPr>
        <w:bidi/>
        <w:jc w:val="both"/>
        <w:rPr>
          <w:rFonts w:ascii="Arial" w:hAnsi="Arial" w:cs="Arial"/>
          <w:sz w:val="14"/>
          <w:szCs w:val="14"/>
          <w:rtl/>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37BBC25B" w14:textId="77777777" w:rsidR="00A676F3" w:rsidRPr="006078FD" w:rsidRDefault="00A676F3" w:rsidP="000269A4">
      <w:pPr>
        <w:pStyle w:val="ListParagraph"/>
        <w:numPr>
          <w:ilvl w:val="0"/>
          <w:numId w:val="4"/>
        </w:numPr>
        <w:bidi/>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37BBC25C" w14:textId="77777777" w:rsidR="00A676F3" w:rsidRPr="006078FD" w:rsidRDefault="00A676F3" w:rsidP="00775F5E">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37BBC25F" w14:textId="77777777" w:rsidR="00A676F3" w:rsidRPr="006078FD" w:rsidRDefault="00A676F3" w:rsidP="00F47D9E">
      <w:pPr>
        <w:pStyle w:val="ListParagraph"/>
        <w:numPr>
          <w:ilvl w:val="0"/>
          <w:numId w:val="1"/>
        </w:numPr>
        <w:bidi/>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396D870A" w14:textId="1C98F054" w:rsidR="006078FD" w:rsidRPr="006078FD" w:rsidRDefault="00A676F3" w:rsidP="00775F5E">
      <w:pPr>
        <w:bidi/>
        <w:jc w:val="both"/>
        <w:rPr>
          <w:rFonts w:ascii="Arial" w:hAnsi="Arial" w:cs="Arial"/>
          <w:sz w:val="14"/>
          <w:szCs w:val="14"/>
          <w:rtl/>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37BBC263" w14:textId="77777777" w:rsidR="00A676F3" w:rsidRPr="006078FD" w:rsidRDefault="00A676F3" w:rsidP="00F47D9E">
      <w:pPr>
        <w:bidi/>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37BBC266" w14:textId="77777777" w:rsidR="00A676F3" w:rsidRPr="006078FD" w:rsidRDefault="00A676F3" w:rsidP="00F81528">
      <w:pPr>
        <w:bidi/>
        <w:jc w:val="both"/>
        <w:rPr>
          <w:rFonts w:ascii="Arial" w:hAnsi="Arial" w:cs="Arial"/>
          <w:sz w:val="14"/>
          <w:szCs w:val="14"/>
          <w:rtl/>
        </w:rPr>
      </w:pPr>
      <w:r w:rsidRPr="006078FD">
        <w:rPr>
          <w:rFonts w:ascii="Arial" w:hAnsi="Arial" w:cs="Arial"/>
          <w:sz w:val="14"/>
          <w:szCs w:val="14"/>
          <w:rtl/>
        </w:rPr>
        <w:t xml:space="preserve">المقاولون المرتبطون بالصراعات المسلحة أو </w:t>
      </w:r>
      <w:r w:rsidR="00F81528" w:rsidRPr="006078FD">
        <w:rPr>
          <w:rFonts w:ascii="Arial" w:hAnsi="Arial" w:cs="Arial"/>
          <w:sz w:val="14"/>
          <w:szCs w:val="14"/>
          <w:rtl/>
        </w:rPr>
        <w:t>اللذين</w:t>
      </w:r>
      <w:r w:rsidRPr="006078FD">
        <w:rPr>
          <w:rFonts w:ascii="Arial" w:hAnsi="Arial" w:cs="Arial"/>
          <w:sz w:val="14"/>
          <w:szCs w:val="14"/>
          <w:rtl/>
        </w:rPr>
        <w:t xml:space="preserve"> يعملون في سياق صراع مسلح عليهم احترام حقوق المدنيين المنصوص عليها في القانون الدولي الإنساني</w:t>
      </w:r>
      <w:r w:rsidR="007E4D1D" w:rsidRPr="006078FD">
        <w:rPr>
          <w:rFonts w:ascii="Arial" w:hAnsi="Arial" w:cs="Arial"/>
          <w:sz w:val="14"/>
          <w:szCs w:val="14"/>
          <w:rtl/>
        </w:rPr>
        <w:t xml:space="preserve">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007E4D1D" w:rsidRPr="006078FD">
        <w:rPr>
          <w:rStyle w:val="FootnoteReference"/>
          <w:rFonts w:ascii="Arial" w:hAnsi="Arial" w:cs="Arial"/>
          <w:sz w:val="14"/>
          <w:szCs w:val="14"/>
          <w:rtl/>
        </w:rPr>
        <w:footnoteReference w:id="6"/>
      </w:r>
      <w:r w:rsidR="007E4D1D"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37BBC26A" w14:textId="0B815A7D" w:rsidR="008C3445" w:rsidRPr="006078FD" w:rsidRDefault="007E4D1D" w:rsidP="008C3445">
      <w:pPr>
        <w:bidi/>
        <w:jc w:val="both"/>
        <w:rPr>
          <w:rFonts w:ascii="Arial" w:hAnsi="Arial" w:cs="Arial"/>
          <w:sz w:val="14"/>
          <w:szCs w:val="14"/>
          <w:rtl/>
        </w:rPr>
      </w:pPr>
      <w:r w:rsidRPr="006078FD">
        <w:rPr>
          <w:rFonts w:ascii="Arial" w:hAnsi="Arial" w:cs="Arial"/>
          <w:sz w:val="14"/>
          <w:szCs w:val="14"/>
          <w:rtl/>
        </w:rPr>
        <w:t>كما يجب على المقاولين أن يمتنعوا عن الانخراط في أي نشاط غير شرعي آخر.</w:t>
      </w:r>
    </w:p>
    <w:p w14:paraId="37BBC26B" w14:textId="77777777" w:rsidR="007E4D1D" w:rsidRPr="006078FD" w:rsidRDefault="007E4D1D" w:rsidP="00F47D9E">
      <w:pPr>
        <w:bidi/>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6E7B67B6" w14:textId="234287D4" w:rsidR="006078FD" w:rsidRPr="006078FD" w:rsidRDefault="007E4D1D" w:rsidP="006078FD">
      <w:pPr>
        <w:bidi/>
        <w:jc w:val="both"/>
        <w:rPr>
          <w:rFonts w:ascii="Arial" w:hAnsi="Arial" w:cs="Arial"/>
          <w:sz w:val="14"/>
          <w:szCs w:val="14"/>
          <w:rtl/>
        </w:rPr>
      </w:pPr>
      <w:r w:rsidRPr="006078FD">
        <w:rPr>
          <w:rFonts w:ascii="Arial" w:hAnsi="Arial" w:cs="Arial"/>
          <w:sz w:val="14"/>
          <w:szCs w:val="14"/>
          <w:rtl/>
        </w:rPr>
        <w:t xml:space="preserve">تناصر </w:t>
      </w:r>
      <w:r w:rsidR="00F81528" w:rsidRPr="006078FD">
        <w:rPr>
          <w:rFonts w:ascii="Arial" w:hAnsi="Arial" w:cs="Arial"/>
          <w:sz w:val="14"/>
          <w:szCs w:val="14"/>
          <w:rtl/>
        </w:rPr>
        <w:t>السلطة</w:t>
      </w:r>
      <w:r w:rsidRPr="006078FD">
        <w:rPr>
          <w:rFonts w:ascii="Arial" w:hAnsi="Arial" w:cs="Arial"/>
          <w:sz w:val="14"/>
          <w:szCs w:val="14"/>
          <w:rtl/>
        </w:rPr>
        <w:t xml:space="preserve">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w:t>
      </w:r>
      <w:r w:rsidR="00F81528" w:rsidRPr="006078FD">
        <w:rPr>
          <w:rFonts w:ascii="Arial" w:hAnsi="Arial" w:cs="Arial"/>
          <w:sz w:val="14"/>
          <w:szCs w:val="14"/>
          <w:rtl/>
        </w:rPr>
        <w:t>أخرى</w:t>
      </w:r>
      <w:r w:rsidRPr="006078FD">
        <w:rPr>
          <w:rFonts w:ascii="Arial" w:hAnsi="Arial" w:cs="Arial"/>
          <w:sz w:val="14"/>
          <w:szCs w:val="14"/>
          <w:rtl/>
        </w:rPr>
        <w:t xml:space="preserve"> يمكنها أن تزيد من انتهاك القانون الإنساني الدولي أو ضمن الخروق الواردة في معاهدة جنيف والبروتوكولات الإضافية الملحقة بها.</w:t>
      </w:r>
    </w:p>
    <w:p w14:paraId="37BBC270" w14:textId="77777777" w:rsidR="007E4D1D" w:rsidRPr="006078FD" w:rsidRDefault="007E4D1D" w:rsidP="00F47D9E">
      <w:pPr>
        <w:bidi/>
        <w:jc w:val="both"/>
        <w:rPr>
          <w:rFonts w:ascii="Arial" w:hAnsi="Arial" w:cs="Arial"/>
          <w:b/>
          <w:bCs/>
          <w:sz w:val="14"/>
          <w:szCs w:val="14"/>
          <w:rtl/>
        </w:rPr>
      </w:pPr>
      <w:r w:rsidRPr="006078FD">
        <w:rPr>
          <w:rFonts w:ascii="Arial" w:hAnsi="Arial" w:cs="Arial"/>
          <w:b/>
          <w:bCs/>
          <w:sz w:val="14"/>
          <w:szCs w:val="14"/>
          <w:rtl/>
        </w:rPr>
        <w:t>حماية البيئة</w:t>
      </w:r>
    </w:p>
    <w:p w14:paraId="37BBC272" w14:textId="77777777" w:rsidR="007E4D1D" w:rsidRPr="006078FD" w:rsidRDefault="007E4D1D" w:rsidP="00F47D9E">
      <w:pPr>
        <w:bidi/>
        <w:jc w:val="both"/>
        <w:rPr>
          <w:rFonts w:ascii="Arial" w:hAnsi="Arial" w:cs="Arial"/>
          <w:sz w:val="14"/>
          <w:szCs w:val="14"/>
          <w:rtl/>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37BBC278" w14:textId="6AA74D6D" w:rsidR="008C3445" w:rsidRPr="006078FD" w:rsidRDefault="007E4D1D" w:rsidP="00F47D9E">
      <w:pPr>
        <w:bidi/>
        <w:jc w:val="both"/>
        <w:rPr>
          <w:rFonts w:ascii="Arial" w:hAnsi="Arial" w:cs="Arial"/>
          <w:sz w:val="14"/>
          <w:szCs w:val="14"/>
          <w:rtl/>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37BBC279" w14:textId="77777777" w:rsidR="007E4D1D" w:rsidRPr="006078FD" w:rsidRDefault="007E4D1D" w:rsidP="008C3445">
      <w:pPr>
        <w:bidi/>
        <w:jc w:val="both"/>
        <w:rPr>
          <w:rFonts w:ascii="Arial" w:hAnsi="Arial" w:cs="Arial"/>
          <w:b/>
          <w:bCs/>
          <w:sz w:val="14"/>
          <w:szCs w:val="14"/>
          <w:rtl/>
        </w:rPr>
      </w:pPr>
      <w:r w:rsidRPr="006078FD">
        <w:rPr>
          <w:rFonts w:ascii="Arial" w:hAnsi="Arial" w:cs="Arial"/>
          <w:b/>
          <w:bCs/>
          <w:sz w:val="14"/>
          <w:szCs w:val="14"/>
          <w:rtl/>
        </w:rPr>
        <w:t>مكافحة الفساد</w:t>
      </w:r>
    </w:p>
    <w:p w14:paraId="37BBC27A" w14:textId="77777777" w:rsidR="007E4D1D" w:rsidRPr="006078FD" w:rsidRDefault="007E4D1D" w:rsidP="00F47D9E">
      <w:pPr>
        <w:bidi/>
        <w:jc w:val="both"/>
        <w:rPr>
          <w:rFonts w:ascii="Arial" w:hAnsi="Arial" w:cs="Arial"/>
          <w:sz w:val="14"/>
          <w:szCs w:val="14"/>
          <w:rtl/>
        </w:rPr>
      </w:pPr>
      <w:r w:rsidRPr="006078FD">
        <w:rPr>
          <w:rFonts w:ascii="Arial" w:hAnsi="Arial" w:cs="Arial"/>
          <w:sz w:val="14"/>
          <w:szCs w:val="14"/>
          <w:rtl/>
        </w:rPr>
        <w:t xml:space="preserve">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w:t>
      </w:r>
      <w:r w:rsidRPr="006078FD">
        <w:rPr>
          <w:rFonts w:ascii="Arial" w:hAnsi="Arial" w:cs="Arial"/>
          <w:sz w:val="14"/>
          <w:szCs w:val="14"/>
          <w:rtl/>
        </w:rPr>
        <w:lastRenderedPageBreak/>
        <w:t>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37BBC27E" w14:textId="035EB375" w:rsidR="008C3445" w:rsidRPr="006078FD" w:rsidRDefault="00D83A28" w:rsidP="008C3445">
      <w:pPr>
        <w:bidi/>
        <w:jc w:val="both"/>
        <w:rPr>
          <w:rFonts w:ascii="Arial" w:hAnsi="Arial" w:cs="Arial"/>
          <w:sz w:val="14"/>
          <w:szCs w:val="14"/>
          <w:rtl/>
        </w:rPr>
      </w:pPr>
      <w:r w:rsidRPr="006078FD">
        <w:rPr>
          <w:rFonts w:ascii="Arial" w:hAnsi="Arial" w:cs="Arial"/>
          <w:sz w:val="14"/>
          <w:szCs w:val="14"/>
          <w:rtl/>
        </w:rPr>
        <w:t xml:space="preserve">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w:t>
      </w:r>
      <w:r w:rsidR="00F81528" w:rsidRPr="006078FD">
        <w:rPr>
          <w:rFonts w:ascii="Arial" w:hAnsi="Arial" w:cs="Arial"/>
          <w:sz w:val="14"/>
          <w:szCs w:val="14"/>
          <w:rtl/>
        </w:rPr>
        <w:t>أو إنهاء</w:t>
      </w:r>
      <w:r w:rsidRPr="006078FD">
        <w:rPr>
          <w:rFonts w:ascii="Arial" w:hAnsi="Arial" w:cs="Arial"/>
          <w:sz w:val="14"/>
          <w:szCs w:val="14"/>
          <w:rtl/>
        </w:rPr>
        <w:t xml:space="preserve"> العقود المبرمة معه.</w:t>
      </w:r>
    </w:p>
    <w:p w14:paraId="37BBC27F" w14:textId="77777777" w:rsidR="00D83A28" w:rsidRPr="006078FD" w:rsidRDefault="00D83A28" w:rsidP="00F81528">
      <w:pPr>
        <w:bidi/>
        <w:jc w:val="both"/>
        <w:rPr>
          <w:rFonts w:ascii="Arial" w:hAnsi="Arial" w:cs="Arial"/>
          <w:b/>
          <w:bCs/>
          <w:sz w:val="14"/>
          <w:szCs w:val="14"/>
          <w:rtl/>
        </w:rPr>
      </w:pPr>
      <w:r w:rsidRPr="006078FD">
        <w:rPr>
          <w:rFonts w:ascii="Arial" w:hAnsi="Arial" w:cs="Arial"/>
          <w:b/>
          <w:bCs/>
          <w:sz w:val="14"/>
          <w:szCs w:val="14"/>
          <w:rtl/>
        </w:rPr>
        <w:t xml:space="preserve">قائمة بالاتفاقيات والمعاهدات الدولية التي </w:t>
      </w:r>
      <w:r w:rsidR="00F81528" w:rsidRPr="006078FD">
        <w:rPr>
          <w:rFonts w:ascii="Arial" w:hAnsi="Arial" w:cs="Arial"/>
          <w:b/>
          <w:bCs/>
          <w:sz w:val="14"/>
          <w:szCs w:val="14"/>
          <w:rtl/>
        </w:rPr>
        <w:t>تغطيها</w:t>
      </w:r>
      <w:r w:rsidRPr="006078FD">
        <w:rPr>
          <w:rFonts w:ascii="Arial" w:hAnsi="Arial" w:cs="Arial"/>
          <w:b/>
          <w:bCs/>
          <w:sz w:val="14"/>
          <w:szCs w:val="14"/>
          <w:rtl/>
        </w:rPr>
        <w:t xml:space="preserve"> مدونة السلوك الخاصة بالمقاولين</w:t>
      </w:r>
    </w:p>
    <w:p w14:paraId="087E79AD"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eastAsia="da-DK"/>
        </w:rPr>
        <w:t>http://www.un.org/en/documents/udhr/index.shtml</w:t>
      </w:r>
    </w:p>
    <w:p w14:paraId="058082F5" w14:textId="02351F47" w:rsidR="006078FD" w:rsidRPr="00775F5E" w:rsidRDefault="006078FD" w:rsidP="00775F5E">
      <w:pPr>
        <w:pStyle w:val="ListParagraph"/>
        <w:numPr>
          <w:ilvl w:val="0"/>
          <w:numId w:val="1"/>
        </w:numPr>
        <w:bidi/>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sidR="00775F5E">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eastAsia="da-DK"/>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00E00332" w:rsidRPr="00775F5E">
        <w:rPr>
          <w:rFonts w:ascii="Arial" w:hAnsi="Arial" w:cs="Arial"/>
          <w:sz w:val="14"/>
          <w:szCs w:val="14"/>
          <w:lang w:val="en-GB" w:eastAsia="da-DK"/>
        </w:rPr>
        <w:t>http://www.icrc.org/eng/war-and-law/treaties-customary-law/geneva-conventions/index.jsp</w:t>
      </w:r>
    </w:p>
    <w:p w14:paraId="2E2CA83A"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eastAsia="da-DK"/>
        </w:rPr>
        <w:t xml:space="preserve">http://www.ilo.org/declaration/lang--en/index.htm </w:t>
      </w:r>
      <w:r w:rsidRPr="006078FD">
        <w:rPr>
          <w:rFonts w:ascii="Arial" w:hAnsi="Arial" w:cs="Arial"/>
          <w:sz w:val="14"/>
          <w:szCs w:val="14"/>
          <w:lang w:val="en-GB" w:eastAsia="da-DK"/>
        </w:rPr>
        <w:t xml:space="preserve">and </w:t>
      </w:r>
      <w:r w:rsidRPr="006078FD">
        <w:rPr>
          <w:rFonts w:ascii="Arial" w:hAnsi="Arial" w:cs="Arial"/>
          <w:i/>
          <w:sz w:val="14"/>
          <w:szCs w:val="14"/>
          <w:lang w:val="en-GB" w:eastAsia="da-DK"/>
        </w:rPr>
        <w:t>http://www.ilo.org/wcmsp5/groups/public/---ed_norm/---declaration/documents/publication/wcms_095898.pdf</w:t>
      </w:r>
    </w:p>
    <w:p w14:paraId="023E8DE5"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eastAsia="da-DK"/>
        </w:rPr>
        <w:t>http://www2.ohchr.org/english/law/crc.htm</w:t>
      </w:r>
    </w:p>
    <w:p w14:paraId="34D62EFB"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eastAsia="da-DK"/>
        </w:rPr>
        <w:t>http://www.ilo.org/ilolex/cgi-lex/convde.pl?C182</w:t>
      </w:r>
    </w:p>
    <w:p w14:paraId="7EBEB8BC" w14:textId="797015BF"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eastAsia="da-DK"/>
        </w:rPr>
        <w:t>http://www.ilo.org/ilolex/cgi-lex/convde.pl?C138</w:t>
      </w:r>
    </w:p>
    <w:p w14:paraId="693E3B91" w14:textId="75C2003A"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eastAsia="da-DK"/>
        </w:rPr>
        <w:t>http://www.ilo.org/ilolex/cgi-lex/convde.pl?C087</w:t>
      </w:r>
    </w:p>
    <w:p w14:paraId="1380187F"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eastAsia="da-DK"/>
        </w:rPr>
        <w:t xml:space="preserve">; </w:t>
      </w:r>
      <w:r w:rsidRPr="006078FD">
        <w:rPr>
          <w:rFonts w:ascii="Arial" w:hAnsi="Arial" w:cs="Arial"/>
          <w:i/>
          <w:sz w:val="14"/>
          <w:szCs w:val="14"/>
          <w:lang w:val="en-GB" w:eastAsia="da-DK"/>
        </w:rPr>
        <w:t>http://www.ilo.org/ilolex/cgi-lex/convde.pl?C098</w:t>
      </w:r>
    </w:p>
    <w:p w14:paraId="34388C6A"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eastAsia="da-DK"/>
        </w:rPr>
        <w:t>http://www.ilo.org/ilolex/cgi-lex/convde.pl?C029</w:t>
      </w:r>
    </w:p>
    <w:p w14:paraId="786F94E6"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eastAsia="da-DK"/>
        </w:rPr>
        <w:t>http://www.ilo.org/ilolex/cgi-lex/convde.pl?C105</w:t>
      </w:r>
    </w:p>
    <w:p w14:paraId="6BB025F3"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eastAsia="da-DK"/>
        </w:rPr>
        <w:t>http://www.ilo.org/ilolex/cgi-lex/convde.pl?C131</w:t>
      </w:r>
    </w:p>
    <w:p w14:paraId="5FACD8C8"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eastAsia="da-DK"/>
        </w:rPr>
        <w:t>http://www.ilo.org/ilolex/cgi-lex/convde.pl?C100</w:t>
      </w:r>
    </w:p>
    <w:p w14:paraId="05055417"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eastAsia="da-DK"/>
        </w:rPr>
        <w:t>http://www.ilo.org/ilolex/cgi-lex/convde.pl?C111</w:t>
      </w:r>
    </w:p>
    <w:p w14:paraId="3877AB41"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61F1BF98"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eastAsia="da-DK"/>
        </w:rPr>
        <w:t>http://www.ilo.org/ilolex/cgi-lex/convde.pl?C001</w:t>
      </w:r>
    </w:p>
    <w:p w14:paraId="1250020A"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eastAsia="da-DK"/>
        </w:rPr>
        <w:t xml:space="preserve"> http://www.ilo.org/ilolex/cgi-lex/convde.pl?C014</w:t>
      </w:r>
    </w:p>
    <w:p w14:paraId="226AE89D"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eastAsia="da-DK"/>
        </w:rPr>
        <w:t>http://www.ilo.org/ilolex/cgi-lex/convde.pl?C143</w:t>
      </w:r>
    </w:p>
    <w:p w14:paraId="7A6AA49A" w14:textId="77777777"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eastAsia="da-DK"/>
        </w:rPr>
        <w:t>http://www.ilo.org/ilolex/cgi-lex/convde.pl?C155</w:t>
      </w:r>
    </w:p>
    <w:p w14:paraId="07707C0F" w14:textId="70CE70AF"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eastAsia="da-DK"/>
        </w:rPr>
        <w:t>http://www.unep.org/Documents.Multilingual/Default.asp?DocumentID=78&amp;ArticleID=1161&amp;l=en</w:t>
      </w:r>
    </w:p>
    <w:p w14:paraId="0DFFB38A" w14:textId="70737AD6" w:rsidR="006078FD" w:rsidRPr="006078FD" w:rsidRDefault="006078FD" w:rsidP="00E00332">
      <w:pPr>
        <w:pStyle w:val="ListParagraph"/>
        <w:numPr>
          <w:ilvl w:val="0"/>
          <w:numId w:val="1"/>
        </w:numPr>
        <w:bidi/>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044C6A4E" w14:textId="66300FC4" w:rsidR="006078FD" w:rsidRPr="00775F5E" w:rsidRDefault="006078FD" w:rsidP="00775F5E">
      <w:pPr>
        <w:pStyle w:val="ListParagraph"/>
        <w:numPr>
          <w:ilvl w:val="0"/>
          <w:numId w:val="1"/>
        </w:numPr>
        <w:bidi/>
        <w:rPr>
          <w:rFonts w:ascii="Arial" w:hAnsi="Arial" w:cs="Arial"/>
          <w:sz w:val="14"/>
          <w:szCs w:val="14"/>
          <w:rtl/>
        </w:rPr>
        <w:sectPr w:rsidR="006078FD"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r w:rsidR="00F619AD">
        <w:rPr>
          <w:rFonts w:ascii="Arial" w:hAnsi="Arial" w:cs="Arial"/>
          <w:i/>
          <w:sz w:val="14"/>
          <w:szCs w:val="14"/>
          <w:lang w:val="en-GB"/>
        </w:rPr>
        <w:t>f</w:t>
      </w:r>
    </w:p>
    <w:p w14:paraId="37BBC281" w14:textId="329E771D" w:rsidR="008C3445" w:rsidRPr="006078FD" w:rsidRDefault="008C3445" w:rsidP="00775F5E">
      <w:pPr>
        <w:bidi/>
        <w:jc w:val="both"/>
        <w:rPr>
          <w:b/>
          <w:bCs/>
          <w:sz w:val="24"/>
          <w:szCs w:val="24"/>
          <w:rtl/>
          <w:lang w:val="en-GB"/>
        </w:rPr>
      </w:pPr>
      <w:bookmarkStart w:id="0" w:name="_GoBack"/>
      <w:bookmarkEnd w:id="0"/>
    </w:p>
    <w:sectPr w:rsidR="008C3445" w:rsidRPr="006078FD" w:rsidSect="00F81528">
      <w:headerReference w:type="default" r:id="rId13"/>
      <w:type w:val="continuous"/>
      <w:pgSz w:w="12240" w:h="15840"/>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BC2D1" w14:textId="77777777" w:rsidR="004C00D6" w:rsidRDefault="004C00D6" w:rsidP="003B6C39">
      <w:pPr>
        <w:spacing w:after="0" w:line="240" w:lineRule="auto"/>
      </w:pPr>
      <w:r>
        <w:separator/>
      </w:r>
    </w:p>
  </w:endnote>
  <w:endnote w:type="continuationSeparator" w:id="0">
    <w:p w14:paraId="37BBC2D2" w14:textId="77777777" w:rsidR="004C00D6" w:rsidRDefault="004C00D6" w:rsidP="003B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C2CF" w14:textId="77777777" w:rsidR="004C00D6" w:rsidRDefault="004C00D6" w:rsidP="003B6C39">
      <w:pPr>
        <w:spacing w:after="0" w:line="240" w:lineRule="auto"/>
      </w:pPr>
      <w:r>
        <w:separator/>
      </w:r>
    </w:p>
  </w:footnote>
  <w:footnote w:type="continuationSeparator" w:id="0">
    <w:p w14:paraId="37BBC2D0" w14:textId="77777777" w:rsidR="004C00D6" w:rsidRDefault="004C00D6" w:rsidP="003B6C39">
      <w:pPr>
        <w:spacing w:after="0" w:line="240" w:lineRule="auto"/>
      </w:pPr>
      <w:r>
        <w:continuationSeparator/>
      </w:r>
    </w:p>
  </w:footnote>
  <w:footnote w:id="1">
    <w:p w14:paraId="37BBC2D3" w14:textId="77777777" w:rsidR="003B6C39" w:rsidRPr="003B6C39" w:rsidRDefault="003B6C39" w:rsidP="003B6C39">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37BBC2D4" w14:textId="77777777" w:rsidR="009C307E" w:rsidRPr="00685852" w:rsidRDefault="003B6C39" w:rsidP="009C307E">
      <w:pPr>
        <w:pStyle w:val="FootnoteText"/>
        <w:rPr>
          <w:sz w:val="12"/>
          <w:szCs w:val="12"/>
        </w:rPr>
      </w:pPr>
      <w:r>
        <w:rPr>
          <w:rStyle w:val="FootnoteReference"/>
        </w:rPr>
        <w:footnoteRef/>
      </w:r>
      <w:r>
        <w:t xml:space="preserve"> </w:t>
      </w:r>
      <w:r w:rsidR="009C307E" w:rsidRPr="00685852">
        <w:rPr>
          <w:sz w:val="12"/>
          <w:szCs w:val="12"/>
        </w:rPr>
        <w:t>http://www.unglobalcompact.org/AboutTheGC/TheTenPrinciples/</w:t>
      </w:r>
    </w:p>
    <w:p w14:paraId="37BBC2D5" w14:textId="77777777" w:rsidR="003B6C39" w:rsidRDefault="009C307E" w:rsidP="009C307E">
      <w:pPr>
        <w:pStyle w:val="FootnoteText"/>
        <w:rPr>
          <w:rtl/>
        </w:rPr>
      </w:pPr>
      <w:r w:rsidRPr="00685852">
        <w:rPr>
          <w:sz w:val="12"/>
          <w:szCs w:val="12"/>
        </w:rPr>
        <w:t>index.html</w:t>
      </w:r>
    </w:p>
  </w:footnote>
  <w:footnote w:id="3">
    <w:p w14:paraId="37BBC2D6" w14:textId="77777777" w:rsidR="003B6C39" w:rsidRDefault="003B6C39">
      <w:pPr>
        <w:pStyle w:val="FootnoteText"/>
        <w:rPr>
          <w:rtl/>
        </w:rPr>
      </w:pPr>
      <w:r>
        <w:rPr>
          <w:rStyle w:val="FootnoteReference"/>
        </w:rPr>
        <w:footnoteRef/>
      </w:r>
      <w:r>
        <w:t xml:space="preserve"> </w:t>
      </w:r>
      <w:r w:rsidR="009C307E" w:rsidRPr="000139F8">
        <w:rPr>
          <w:sz w:val="12"/>
          <w:szCs w:val="12"/>
        </w:rPr>
        <w:t>http://ec.europa.eu/echo/partners/humanitarian_aid/procurement_guidelines_en.htm</w:t>
      </w:r>
    </w:p>
  </w:footnote>
  <w:footnote w:id="4">
    <w:p w14:paraId="37BBC2DC" w14:textId="18C1EA3E" w:rsidR="009E5F54" w:rsidRDefault="009E5F54">
      <w:pPr>
        <w:pStyle w:val="FootnoteText"/>
        <w:rPr>
          <w:rtl/>
        </w:rPr>
      </w:pPr>
      <w:r>
        <w:rPr>
          <w:rStyle w:val="FootnoteReference"/>
        </w:rPr>
        <w:footnoteRef/>
      </w:r>
      <w:r w:rsidR="006078FD">
        <w:t xml:space="preserve"> </w:t>
      </w:r>
      <w:r w:rsidR="007A670D" w:rsidRPr="00685852">
        <w:rPr>
          <w:rFonts w:cs="Arial"/>
          <w:sz w:val="12"/>
          <w:szCs w:val="12"/>
        </w:rPr>
        <w:t xml:space="preserve">http://www.unglobalcompact.org/AboutTheGC/TheTenPrinciples/principle5.html and </w:t>
      </w:r>
      <w:r w:rsidR="007A670D" w:rsidRPr="00E00332">
        <w:rPr>
          <w:rFonts w:cs="Calibri"/>
          <w:sz w:val="12"/>
          <w:szCs w:val="12"/>
          <w:lang w:eastAsia="da-DK"/>
        </w:rPr>
        <w:t>http://www.ilo.org/ilolex/cgi-lex/convde.pl?C138</w:t>
      </w:r>
    </w:p>
  </w:footnote>
  <w:footnote w:id="5">
    <w:p w14:paraId="37BBC2DE" w14:textId="77777777" w:rsidR="00A676F3" w:rsidRPr="006078FD" w:rsidRDefault="00A676F3" w:rsidP="007A670D">
      <w:pPr>
        <w:pStyle w:val="FootnoteText"/>
        <w:bidi/>
        <w:rPr>
          <w:sz w:val="12"/>
          <w:szCs w:val="12"/>
          <w:rtl/>
        </w:rPr>
      </w:pPr>
      <w:r w:rsidRPr="006078FD">
        <w:rPr>
          <w:rStyle w:val="FootnoteReference"/>
          <w:sz w:val="12"/>
          <w:szCs w:val="12"/>
        </w:rPr>
        <w:footnoteRef/>
      </w:r>
      <w:r w:rsidRPr="006078FD">
        <w:rPr>
          <w:sz w:val="12"/>
          <w:szCs w:val="12"/>
        </w:rPr>
        <w:t xml:space="preserve"> </w:t>
      </w:r>
      <w:r w:rsidR="007A670D"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37BBC2E0" w14:textId="77777777" w:rsidR="007E4D1D" w:rsidRPr="006078FD" w:rsidRDefault="007E4D1D" w:rsidP="007A670D">
      <w:pPr>
        <w:pStyle w:val="FootnoteText"/>
        <w:bidi/>
        <w:rPr>
          <w:sz w:val="12"/>
          <w:szCs w:val="12"/>
          <w:rtl/>
        </w:rPr>
      </w:pPr>
      <w:r w:rsidRPr="00E00332">
        <w:rPr>
          <w:rStyle w:val="FootnoteReference"/>
          <w:sz w:val="16"/>
          <w:szCs w:val="16"/>
        </w:rPr>
        <w:footnoteRef/>
      </w:r>
      <w:r w:rsidRPr="006078FD">
        <w:rPr>
          <w:sz w:val="12"/>
          <w:szCs w:val="12"/>
        </w:rPr>
        <w:t xml:space="preserve"> </w:t>
      </w:r>
      <w:r w:rsidR="007A670D"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37BBC2E2" w14:textId="611406DE" w:rsidR="007E4D1D" w:rsidRDefault="007E4D1D" w:rsidP="006078FD">
      <w:pPr>
        <w:pStyle w:val="FootnoteText"/>
        <w:tabs>
          <w:tab w:val="left" w:pos="7325"/>
        </w:tabs>
        <w:rPr>
          <w:rtl/>
        </w:rPr>
      </w:pPr>
      <w:r>
        <w:rPr>
          <w:rStyle w:val="FootnoteReference"/>
        </w:rPr>
        <w:footnoteRef/>
      </w:r>
      <w:r>
        <w:t xml:space="preserve"> </w:t>
      </w:r>
      <w:r w:rsidR="00B71008" w:rsidRPr="00D94CB3">
        <w:rPr>
          <w:sz w:val="12"/>
          <w:szCs w:val="12"/>
        </w:rPr>
        <w:t>http://www.danchurchaid.org/about-us/quality-assurance</w:t>
      </w:r>
      <w:r w:rsidR="00B71008" w:rsidRPr="005134D0">
        <w:rPr>
          <w:sz w:val="12"/>
          <w:szCs w:val="12"/>
        </w:rPr>
        <w:t>/anti-corruption/complaints</w:t>
      </w:r>
      <w:r w:rsidR="006078FD">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329AD" w14:textId="1FE07D94" w:rsidR="00775F5E" w:rsidRPr="00775F5E" w:rsidRDefault="00775F5E" w:rsidP="00775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19730895"/>
    <w:multiLevelType w:val="hybridMultilevel"/>
    <w:tmpl w:val="F42E1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EC52AF"/>
    <w:multiLevelType w:val="hybridMultilevel"/>
    <w:tmpl w:val="B23C1FAA"/>
    <w:lvl w:ilvl="0" w:tplc="04060001">
      <w:start w:val="1"/>
      <w:numFmt w:val="bullet"/>
      <w:lvlText w:val=""/>
      <w:lvlJc w:val="left"/>
      <w:pPr>
        <w:ind w:left="720" w:hanging="360"/>
      </w:pPr>
      <w:rPr>
        <w:rFonts w:ascii="Symbol" w:hAnsi="Symbol" w:hint="default"/>
      </w:rPr>
    </w:lvl>
    <w:lvl w:ilvl="1" w:tplc="477265A4">
      <w:start w:val="1"/>
      <w:numFmt w:val="bullet"/>
      <w:lvlText w:val=""/>
      <w:lvlJc w:val="left"/>
      <w:pPr>
        <w:ind w:left="1440" w:hanging="360"/>
      </w:pPr>
      <w:rPr>
        <w:rFonts w:ascii="Symbol" w:hAnsi="Symbol" w:hint="default"/>
        <w:sz w:val="28"/>
        <w:szCs w:val="28"/>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83538E5"/>
    <w:multiLevelType w:val="hybridMultilevel"/>
    <w:tmpl w:val="D936641E"/>
    <w:lvl w:ilvl="0" w:tplc="4528A1EC">
      <w:start w:val="13"/>
      <w:numFmt w:val="bullet"/>
      <w:lvlText w:val=""/>
      <w:lvlJc w:val="left"/>
      <w:pPr>
        <w:ind w:left="360" w:hanging="360"/>
      </w:pPr>
      <w:rPr>
        <w:rFonts w:ascii="Symbol" w:eastAsiaTheme="minorHAnsi" w:hAnsi="Symbol" w:cstheme="minorBidi"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39"/>
    <w:rsid w:val="00015ABC"/>
    <w:rsid w:val="000269A4"/>
    <w:rsid w:val="001363B2"/>
    <w:rsid w:val="001672C8"/>
    <w:rsid w:val="001F580D"/>
    <w:rsid w:val="003B6C39"/>
    <w:rsid w:val="004C00D6"/>
    <w:rsid w:val="0060537E"/>
    <w:rsid w:val="006078FD"/>
    <w:rsid w:val="00731449"/>
    <w:rsid w:val="00775F5E"/>
    <w:rsid w:val="007A670D"/>
    <w:rsid w:val="007C78D9"/>
    <w:rsid w:val="007E4D1D"/>
    <w:rsid w:val="00897D99"/>
    <w:rsid w:val="008C3445"/>
    <w:rsid w:val="008D0D56"/>
    <w:rsid w:val="00971F78"/>
    <w:rsid w:val="009C307E"/>
    <w:rsid w:val="009E5F54"/>
    <w:rsid w:val="00A25EAC"/>
    <w:rsid w:val="00A676F3"/>
    <w:rsid w:val="00B13509"/>
    <w:rsid w:val="00B37C4C"/>
    <w:rsid w:val="00B71008"/>
    <w:rsid w:val="00C74A5F"/>
    <w:rsid w:val="00D83A28"/>
    <w:rsid w:val="00E00332"/>
    <w:rsid w:val="00E8422B"/>
    <w:rsid w:val="00F47D9E"/>
    <w:rsid w:val="00F619AD"/>
    <w:rsid w:val="00F81528"/>
    <w:rsid w:val="00FE1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BC21C"/>
  <w15:docId w15:val="{D6555855-F06B-4FCD-B9CB-72F8286C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6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C39"/>
    <w:rPr>
      <w:sz w:val="20"/>
      <w:szCs w:val="20"/>
    </w:rPr>
  </w:style>
  <w:style w:type="character" w:styleId="FootnoteReference">
    <w:name w:val="footnote reference"/>
    <w:basedOn w:val="DefaultParagraphFont"/>
    <w:uiPriority w:val="99"/>
    <w:semiHidden/>
    <w:unhideWhenUsed/>
    <w:rsid w:val="003B6C39"/>
    <w:rPr>
      <w:vertAlign w:val="superscript"/>
    </w:rPr>
  </w:style>
  <w:style w:type="paragraph" w:styleId="ListParagraph">
    <w:name w:val="List Paragraph"/>
    <w:basedOn w:val="Normal"/>
    <w:uiPriority w:val="34"/>
    <w:qFormat/>
    <w:rsid w:val="009E5F54"/>
    <w:pPr>
      <w:ind w:left="720"/>
      <w:contextualSpacing/>
    </w:pPr>
  </w:style>
  <w:style w:type="character" w:styleId="Hyperlink">
    <w:name w:val="Hyperlink"/>
    <w:basedOn w:val="DefaultParagraphFont"/>
    <w:uiPriority w:val="99"/>
    <w:unhideWhenUsed/>
    <w:rsid w:val="007A670D"/>
    <w:rPr>
      <w:color w:val="0000FF" w:themeColor="hyperlink"/>
      <w:u w:val="single"/>
    </w:rPr>
  </w:style>
  <w:style w:type="character" w:styleId="CommentReference">
    <w:name w:val="annotation reference"/>
    <w:basedOn w:val="DefaultParagraphFont"/>
    <w:uiPriority w:val="99"/>
    <w:semiHidden/>
    <w:unhideWhenUsed/>
    <w:rsid w:val="00015ABC"/>
    <w:rPr>
      <w:sz w:val="16"/>
      <w:szCs w:val="16"/>
    </w:rPr>
  </w:style>
  <w:style w:type="paragraph" w:styleId="CommentText">
    <w:name w:val="annotation text"/>
    <w:basedOn w:val="Normal"/>
    <w:link w:val="CommentTextChar"/>
    <w:uiPriority w:val="99"/>
    <w:semiHidden/>
    <w:unhideWhenUsed/>
    <w:rsid w:val="00015ABC"/>
    <w:pPr>
      <w:spacing w:line="240" w:lineRule="auto"/>
    </w:pPr>
    <w:rPr>
      <w:sz w:val="20"/>
      <w:szCs w:val="20"/>
    </w:rPr>
  </w:style>
  <w:style w:type="character" w:customStyle="1" w:styleId="CommentTextChar">
    <w:name w:val="Comment Text Char"/>
    <w:basedOn w:val="DefaultParagraphFont"/>
    <w:link w:val="CommentText"/>
    <w:uiPriority w:val="99"/>
    <w:semiHidden/>
    <w:rsid w:val="00015ABC"/>
    <w:rPr>
      <w:sz w:val="20"/>
      <w:szCs w:val="20"/>
    </w:rPr>
  </w:style>
  <w:style w:type="paragraph" w:styleId="CommentSubject">
    <w:name w:val="annotation subject"/>
    <w:basedOn w:val="CommentText"/>
    <w:next w:val="CommentText"/>
    <w:link w:val="CommentSubjectChar"/>
    <w:uiPriority w:val="99"/>
    <w:semiHidden/>
    <w:unhideWhenUsed/>
    <w:rsid w:val="00015ABC"/>
    <w:rPr>
      <w:b/>
      <w:bCs/>
    </w:rPr>
  </w:style>
  <w:style w:type="character" w:customStyle="1" w:styleId="CommentSubjectChar">
    <w:name w:val="Comment Subject Char"/>
    <w:basedOn w:val="CommentTextChar"/>
    <w:link w:val="CommentSubject"/>
    <w:uiPriority w:val="99"/>
    <w:semiHidden/>
    <w:rsid w:val="00015ABC"/>
    <w:rPr>
      <w:b/>
      <w:bCs/>
      <w:sz w:val="20"/>
      <w:szCs w:val="20"/>
    </w:rPr>
  </w:style>
  <w:style w:type="paragraph" w:styleId="BalloonText">
    <w:name w:val="Balloon Text"/>
    <w:basedOn w:val="Normal"/>
    <w:link w:val="BalloonTextChar"/>
    <w:uiPriority w:val="99"/>
    <w:semiHidden/>
    <w:unhideWhenUsed/>
    <w:rsid w:val="00015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C"/>
    <w:rPr>
      <w:rFonts w:ascii="Segoe UI" w:hAnsi="Segoe UI" w:cs="Segoe UI"/>
      <w:sz w:val="18"/>
      <w:szCs w:val="18"/>
    </w:rPr>
  </w:style>
  <w:style w:type="table" w:styleId="TableGrid">
    <w:name w:val="Table Grid"/>
    <w:basedOn w:val="TableNormal"/>
    <w:uiPriority w:val="59"/>
    <w:rsid w:val="008C34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5F5E"/>
    <w:pPr>
      <w:tabs>
        <w:tab w:val="center" w:pos="4819"/>
        <w:tab w:val="right" w:pos="9638"/>
      </w:tabs>
      <w:spacing w:after="0" w:line="240" w:lineRule="auto"/>
    </w:pPr>
  </w:style>
  <w:style w:type="character" w:customStyle="1" w:styleId="HeaderChar">
    <w:name w:val="Header Char"/>
    <w:basedOn w:val="DefaultParagraphFont"/>
    <w:link w:val="Header"/>
    <w:uiPriority w:val="99"/>
    <w:rsid w:val="00775F5E"/>
  </w:style>
  <w:style w:type="paragraph" w:styleId="Footer">
    <w:name w:val="footer"/>
    <w:basedOn w:val="Normal"/>
    <w:link w:val="FooterChar"/>
    <w:uiPriority w:val="99"/>
    <w:unhideWhenUsed/>
    <w:rsid w:val="00775F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77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DCADOC-377-9092</_dlc_DocId>
    <_dlc_DocIdUrl xmlns="58d44a88-3d02-4645-84eb-7e8385246cec">
      <Url>https://intra.dca.dk/Units/im/prolog/_layouts/DocIdRedir.aspx?ID=DCADOC-377-9092</Url>
      <Description>DCADOC-377-9092</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24CE8-6BB6-43BC-B279-5EB9E8CE763E}"/>
</file>

<file path=customXml/itemProps2.xml><?xml version="1.0" encoding="utf-8"?>
<ds:datastoreItem xmlns:ds="http://schemas.openxmlformats.org/officeDocument/2006/customXml" ds:itemID="{BB696244-CD19-4371-89AB-C0A927CA2335}"/>
</file>

<file path=customXml/itemProps3.xml><?xml version="1.0" encoding="utf-8"?>
<ds:datastoreItem xmlns:ds="http://schemas.openxmlformats.org/officeDocument/2006/customXml" ds:itemID="{5BF663E5-76C6-4E37-8E70-37F7E49E7C89}"/>
</file>

<file path=customXml/itemProps4.xml><?xml version="1.0" encoding="utf-8"?>
<ds:datastoreItem xmlns:ds="http://schemas.openxmlformats.org/officeDocument/2006/customXml" ds:itemID="{17B24165-5690-43F7-8A54-80682506CBDB}"/>
</file>

<file path=customXml/itemProps5.xml><?xml version="1.0" encoding="utf-8"?>
<ds:datastoreItem xmlns:ds="http://schemas.openxmlformats.org/officeDocument/2006/customXml" ds:itemID="{A346A11B-5E4D-4D81-B4A1-168CA5CF8C96}"/>
</file>

<file path=docProps/app.xml><?xml version="1.0" encoding="utf-8"?>
<Properties xmlns="http://schemas.openxmlformats.org/officeDocument/2006/extended-properties" xmlns:vt="http://schemas.openxmlformats.org/officeDocument/2006/docPropsVTypes">
  <Template>Normal</Template>
  <TotalTime>25</TotalTime>
  <Pages>3</Pages>
  <Words>1409</Words>
  <Characters>8595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Holmelund Melgaard</cp:lastModifiedBy>
  <cp:revision>3</cp:revision>
  <dcterms:created xsi:type="dcterms:W3CDTF">2014-05-12T11:30:00Z</dcterms:created>
  <dcterms:modified xsi:type="dcterms:W3CDTF">2014-05-13T08:28:00Z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4b5b6f7e-a8a8-427c-a300-d56257be0f4b</vt:lpwstr>
  </property>
  <property fmtid="{D5CDD505-2E9C-101B-9397-08002B2CF9AE}" pid="3" name="ContentTypeId">
    <vt:lpwstr>0x01010045E8358252D6400EB1C231CCF7F3BC970069EBE2269A6A7846853FB6DFFAB71083</vt:lpwstr>
  </property>
  <property fmtid="{D5CDD505-2E9C-101B-9397-08002B2CF9AE}" pid="4" name="PortalKeyword">
    <vt:lpwstr/>
  </property>
</Properties>
</file>