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37A9" w14:textId="0CED49CC" w:rsidR="0022533B" w:rsidRPr="00E4534D" w:rsidRDefault="0022533B" w:rsidP="00E4534D">
      <w:pPr>
        <w:autoSpaceDE w:val="0"/>
        <w:autoSpaceDN w:val="0"/>
        <w:adjustRightInd w:val="0"/>
        <w:rPr>
          <w:rFonts w:ascii="Arial" w:hAnsi="Arial" w:cs="Arial"/>
          <w:b/>
          <w:bCs/>
          <w:sz w:val="28"/>
          <w:szCs w:val="28"/>
          <w:lang w:val="en-GB"/>
        </w:rPr>
      </w:pPr>
      <w:r w:rsidRPr="0022533B">
        <w:rPr>
          <w:rFonts w:ascii="Arial" w:hAnsi="Arial" w:cs="Arial"/>
          <w:b/>
          <w:bCs/>
          <w:sz w:val="28"/>
          <w:szCs w:val="28"/>
          <w:lang w:val="en-GB"/>
        </w:rPr>
        <w:t xml:space="preserve">ANNEX GEN 19: </w:t>
      </w:r>
      <w:r>
        <w:rPr>
          <w:rFonts w:ascii="Arial" w:hAnsi="Arial" w:cs="Arial"/>
          <w:b/>
          <w:bCs/>
          <w:sz w:val="28"/>
          <w:szCs w:val="28"/>
          <w:lang w:val="en-GB"/>
        </w:rPr>
        <w:t xml:space="preserve">Cash Grant VS Procurement </w:t>
      </w:r>
    </w:p>
    <w:tbl>
      <w:tblPr>
        <w:tblStyle w:val="TableGrid"/>
        <w:tblW w:w="0" w:type="auto"/>
        <w:tblLook w:val="04A0" w:firstRow="1" w:lastRow="0" w:firstColumn="1" w:lastColumn="0" w:noHBand="0" w:noVBand="1"/>
      </w:tblPr>
      <w:tblGrid>
        <w:gridCol w:w="1762"/>
        <w:gridCol w:w="2720"/>
        <w:gridCol w:w="4251"/>
        <w:gridCol w:w="4693"/>
      </w:tblGrid>
      <w:tr w:rsidR="00533A5F" w:rsidRPr="0022533B" w14:paraId="584FCACC" w14:textId="77777777" w:rsidTr="00E4534D">
        <w:tc>
          <w:tcPr>
            <w:tcW w:w="0" w:type="auto"/>
            <w:shd w:val="clear" w:color="auto" w:fill="C9C9C9" w:themeFill="accent3" w:themeFillTint="99"/>
          </w:tcPr>
          <w:p w14:paraId="63D43E30" w14:textId="77777777" w:rsidR="00533A5F" w:rsidRPr="00E4534D" w:rsidRDefault="00533A5F" w:rsidP="0049360D">
            <w:pPr>
              <w:rPr>
                <w:rFonts w:ascii="Arial" w:hAnsi="Arial" w:cs="Arial"/>
                <w:b/>
                <w:sz w:val="20"/>
                <w:szCs w:val="20"/>
                <w:lang w:val="en-US"/>
              </w:rPr>
            </w:pPr>
            <w:r w:rsidRPr="00E4534D">
              <w:rPr>
                <w:rFonts w:ascii="Arial" w:hAnsi="Arial" w:cs="Arial"/>
                <w:b/>
                <w:szCs w:val="20"/>
                <w:lang w:val="en-US"/>
              </w:rPr>
              <w:t>Type of Cash grant</w:t>
            </w:r>
          </w:p>
        </w:tc>
        <w:tc>
          <w:tcPr>
            <w:tcW w:w="0" w:type="auto"/>
            <w:shd w:val="clear" w:color="auto" w:fill="C9C9C9" w:themeFill="accent3" w:themeFillTint="99"/>
          </w:tcPr>
          <w:p w14:paraId="60629193" w14:textId="77777777" w:rsidR="00533A5F" w:rsidRPr="00E4534D" w:rsidRDefault="00533A5F">
            <w:pPr>
              <w:rPr>
                <w:rFonts w:ascii="Arial" w:hAnsi="Arial" w:cs="Arial"/>
                <w:b/>
                <w:szCs w:val="20"/>
                <w:lang w:val="en-US"/>
              </w:rPr>
            </w:pPr>
            <w:r w:rsidRPr="00E4534D">
              <w:rPr>
                <w:rFonts w:ascii="Arial" w:hAnsi="Arial" w:cs="Arial"/>
                <w:b/>
                <w:szCs w:val="20"/>
                <w:lang w:val="en-US"/>
              </w:rPr>
              <w:t>Definition</w:t>
            </w:r>
          </w:p>
        </w:tc>
        <w:tc>
          <w:tcPr>
            <w:tcW w:w="0" w:type="auto"/>
            <w:shd w:val="clear" w:color="auto" w:fill="C9C9C9" w:themeFill="accent3" w:themeFillTint="99"/>
          </w:tcPr>
          <w:p w14:paraId="4077A1F3" w14:textId="77777777" w:rsidR="00533A5F" w:rsidRPr="00E4534D" w:rsidRDefault="00533A5F">
            <w:pPr>
              <w:rPr>
                <w:rFonts w:ascii="Arial" w:hAnsi="Arial" w:cs="Arial"/>
                <w:b/>
                <w:szCs w:val="20"/>
                <w:lang w:val="en-US"/>
              </w:rPr>
            </w:pPr>
            <w:r w:rsidRPr="00E4534D">
              <w:rPr>
                <w:rFonts w:ascii="Arial" w:hAnsi="Arial" w:cs="Arial"/>
                <w:b/>
                <w:szCs w:val="20"/>
                <w:lang w:val="en-US"/>
              </w:rPr>
              <w:t>Example</w:t>
            </w:r>
          </w:p>
        </w:tc>
        <w:tc>
          <w:tcPr>
            <w:tcW w:w="0" w:type="auto"/>
            <w:shd w:val="clear" w:color="auto" w:fill="C9C9C9" w:themeFill="accent3" w:themeFillTint="99"/>
          </w:tcPr>
          <w:p w14:paraId="488CB02F" w14:textId="77777777" w:rsidR="00533A5F" w:rsidRPr="00E4534D" w:rsidRDefault="00533A5F">
            <w:pPr>
              <w:rPr>
                <w:rFonts w:ascii="Arial" w:hAnsi="Arial" w:cs="Arial"/>
                <w:b/>
                <w:szCs w:val="20"/>
                <w:lang w:val="en-US"/>
              </w:rPr>
            </w:pPr>
            <w:r w:rsidRPr="00E4534D">
              <w:rPr>
                <w:rFonts w:ascii="Arial" w:hAnsi="Arial" w:cs="Arial"/>
                <w:b/>
                <w:szCs w:val="20"/>
                <w:lang w:val="en-US"/>
              </w:rPr>
              <w:t>Procurement Action required</w:t>
            </w:r>
          </w:p>
        </w:tc>
      </w:tr>
      <w:tr w:rsidR="009A7835" w:rsidRPr="0022533B" w14:paraId="32BEA145" w14:textId="77777777" w:rsidTr="00E4534D">
        <w:trPr>
          <w:trHeight w:val="1931"/>
        </w:trPr>
        <w:tc>
          <w:tcPr>
            <w:tcW w:w="0" w:type="auto"/>
          </w:tcPr>
          <w:p w14:paraId="0823D824" w14:textId="77777777" w:rsidR="009A7835" w:rsidRPr="00E4534D" w:rsidRDefault="009A7835" w:rsidP="009A7835">
            <w:pPr>
              <w:rPr>
                <w:rFonts w:ascii="Arial" w:hAnsi="Arial" w:cs="Arial"/>
                <w:sz w:val="20"/>
                <w:szCs w:val="20"/>
                <w:lang w:val="en-US"/>
              </w:rPr>
            </w:pPr>
            <w:r w:rsidRPr="00E4534D">
              <w:rPr>
                <w:rFonts w:ascii="Arial" w:hAnsi="Arial" w:cs="Arial"/>
                <w:szCs w:val="20"/>
                <w:lang w:val="en-US"/>
              </w:rPr>
              <w:t>Unconditional Cash</w:t>
            </w:r>
          </w:p>
        </w:tc>
        <w:tc>
          <w:tcPr>
            <w:tcW w:w="0" w:type="auto"/>
          </w:tcPr>
          <w:p w14:paraId="6227A35C" w14:textId="77777777"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People </w:t>
            </w:r>
            <w:proofErr w:type="gramStart"/>
            <w:r w:rsidRPr="00E4534D">
              <w:rPr>
                <w:rFonts w:ascii="Arial" w:hAnsi="Arial" w:cs="Arial"/>
                <w:sz w:val="20"/>
                <w:szCs w:val="20"/>
                <w:lang w:val="en-US"/>
              </w:rPr>
              <w:t>are given</w:t>
            </w:r>
            <w:proofErr w:type="gramEnd"/>
            <w:r w:rsidRPr="00E4534D">
              <w:rPr>
                <w:rFonts w:ascii="Arial" w:hAnsi="Arial" w:cs="Arial"/>
                <w:sz w:val="20"/>
                <w:szCs w:val="20"/>
                <w:lang w:val="en-US"/>
              </w:rPr>
              <w:t xml:space="preserve"> money with no conditions on the use or repayment of the same.</w:t>
            </w:r>
          </w:p>
        </w:tc>
        <w:tc>
          <w:tcPr>
            <w:tcW w:w="0" w:type="auto"/>
          </w:tcPr>
          <w:p w14:paraId="25B2E8CD" w14:textId="77777777"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In Cambodia, DCA and consortium partners provided cash grants to 833 very poor households who had limited capacity to work and who did not harvest sufficient quantities of dry-season rice due to </w:t>
            </w:r>
            <w:proofErr w:type="gramStart"/>
            <w:r w:rsidRPr="00E4534D">
              <w:rPr>
                <w:rFonts w:ascii="Arial" w:hAnsi="Arial" w:cs="Arial"/>
                <w:sz w:val="20"/>
                <w:szCs w:val="20"/>
                <w:lang w:val="en-US"/>
              </w:rPr>
              <w:t>being hit</w:t>
            </w:r>
            <w:proofErr w:type="gramEnd"/>
            <w:r w:rsidRPr="00E4534D">
              <w:rPr>
                <w:rFonts w:ascii="Arial" w:hAnsi="Arial" w:cs="Arial"/>
                <w:sz w:val="20"/>
                <w:szCs w:val="20"/>
                <w:lang w:val="en-US"/>
              </w:rPr>
              <w:t xml:space="preserve"> by devastating floods. Cash grants </w:t>
            </w:r>
            <w:proofErr w:type="gramStart"/>
            <w:r w:rsidRPr="00E4534D">
              <w:rPr>
                <w:rFonts w:ascii="Arial" w:hAnsi="Arial" w:cs="Arial"/>
                <w:sz w:val="20"/>
                <w:szCs w:val="20"/>
                <w:lang w:val="en-US"/>
              </w:rPr>
              <w:t>were distributed</w:t>
            </w:r>
            <w:proofErr w:type="gramEnd"/>
            <w:r w:rsidRPr="00E4534D">
              <w:rPr>
                <w:rFonts w:ascii="Arial" w:hAnsi="Arial" w:cs="Arial"/>
                <w:sz w:val="20"/>
                <w:szCs w:val="20"/>
                <w:lang w:val="en-US"/>
              </w:rPr>
              <w:t xml:space="preserve"> to help families recover their livelihoods.</w:t>
            </w:r>
          </w:p>
        </w:tc>
        <w:tc>
          <w:tcPr>
            <w:tcW w:w="0" w:type="auto"/>
          </w:tcPr>
          <w:p w14:paraId="5B99B4EC" w14:textId="77777777" w:rsidR="009A7835" w:rsidRPr="00E4534D" w:rsidRDefault="009A7835" w:rsidP="009A7835">
            <w:pPr>
              <w:rPr>
                <w:rFonts w:ascii="Arial" w:hAnsi="Arial" w:cs="Arial"/>
                <w:sz w:val="20"/>
                <w:szCs w:val="20"/>
                <w:lang w:val="en-US"/>
              </w:rPr>
            </w:pPr>
            <w:r w:rsidRPr="006E4D31">
              <w:rPr>
                <w:rFonts w:ascii="Arial" w:hAnsi="Arial" w:cs="Arial"/>
                <w:b/>
                <w:sz w:val="20"/>
                <w:szCs w:val="20"/>
                <w:lang w:val="en-US"/>
              </w:rPr>
              <w:t>None.</w:t>
            </w:r>
            <w:r w:rsidRPr="00E4534D">
              <w:rPr>
                <w:rFonts w:ascii="Arial" w:hAnsi="Arial" w:cs="Arial"/>
                <w:sz w:val="20"/>
                <w:szCs w:val="20"/>
                <w:lang w:val="en-US"/>
              </w:rPr>
              <w:t xml:space="preserve"> A prerequisite for unconditional cash programming is that a market of a sufficient size exists. </w:t>
            </w:r>
            <w:proofErr w:type="gramStart"/>
            <w:r w:rsidRPr="00E4534D">
              <w:rPr>
                <w:rFonts w:ascii="Arial" w:hAnsi="Arial" w:cs="Arial"/>
                <w:sz w:val="20"/>
                <w:szCs w:val="20"/>
                <w:lang w:val="en-US"/>
              </w:rPr>
              <w:t>This assessment is not undertaken by the Procurement Officer</w:t>
            </w:r>
            <w:proofErr w:type="gramEnd"/>
            <w:r w:rsidRPr="00E4534D">
              <w:rPr>
                <w:rFonts w:ascii="Arial" w:hAnsi="Arial" w:cs="Arial"/>
                <w:sz w:val="20"/>
                <w:szCs w:val="20"/>
                <w:lang w:val="en-US"/>
              </w:rPr>
              <w:t>.</w:t>
            </w:r>
          </w:p>
        </w:tc>
      </w:tr>
      <w:tr w:rsidR="009A7835" w:rsidRPr="006E4D31" w14:paraId="6157CCFB" w14:textId="77777777" w:rsidTr="00E4534D">
        <w:tc>
          <w:tcPr>
            <w:tcW w:w="0" w:type="auto"/>
          </w:tcPr>
          <w:p w14:paraId="563D9E3F" w14:textId="77777777" w:rsidR="009A7835" w:rsidRPr="00E4534D" w:rsidRDefault="009A7835" w:rsidP="009A7835">
            <w:pPr>
              <w:rPr>
                <w:rFonts w:ascii="Arial" w:hAnsi="Arial" w:cs="Arial"/>
                <w:sz w:val="20"/>
                <w:szCs w:val="20"/>
                <w:lang w:val="en-US"/>
              </w:rPr>
            </w:pPr>
            <w:r w:rsidRPr="00E4534D">
              <w:rPr>
                <w:rFonts w:ascii="Arial" w:hAnsi="Arial" w:cs="Arial"/>
                <w:szCs w:val="20"/>
                <w:lang w:val="en-US"/>
              </w:rPr>
              <w:t>Conditional Cash</w:t>
            </w:r>
          </w:p>
        </w:tc>
        <w:tc>
          <w:tcPr>
            <w:tcW w:w="0" w:type="auto"/>
          </w:tcPr>
          <w:p w14:paraId="14ECA9FC" w14:textId="77777777"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People </w:t>
            </w:r>
            <w:proofErr w:type="gramStart"/>
            <w:r w:rsidRPr="00E4534D">
              <w:rPr>
                <w:rFonts w:ascii="Arial" w:hAnsi="Arial" w:cs="Arial"/>
                <w:sz w:val="20"/>
                <w:szCs w:val="20"/>
                <w:lang w:val="en-US"/>
              </w:rPr>
              <w:t>are given</w:t>
            </w:r>
            <w:proofErr w:type="gramEnd"/>
            <w:r w:rsidRPr="00E4534D">
              <w:rPr>
                <w:rFonts w:ascii="Arial" w:hAnsi="Arial" w:cs="Arial"/>
                <w:sz w:val="20"/>
                <w:szCs w:val="20"/>
                <w:lang w:val="en-US"/>
              </w:rPr>
              <w:t xml:space="preserve"> money with specific conditions on how it may be spent, for example for paying for the reconstruction of the family home.  </w:t>
            </w:r>
          </w:p>
        </w:tc>
        <w:tc>
          <w:tcPr>
            <w:tcW w:w="0" w:type="auto"/>
          </w:tcPr>
          <w:p w14:paraId="5641ECE1" w14:textId="77777777"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Following a devastating cyclone in India, DCA’s partners provided cash grants to 300 households with the condition that they utilize the money to purchase materials on the local market to repair their homes, both supporting the local economy and quickly assisting families in need of shelter.</w:t>
            </w:r>
          </w:p>
        </w:tc>
        <w:tc>
          <w:tcPr>
            <w:tcW w:w="0" w:type="auto"/>
          </w:tcPr>
          <w:p w14:paraId="3A2966C1" w14:textId="65E246A3" w:rsidR="009A7835" w:rsidRPr="00E4534D" w:rsidRDefault="009A7835" w:rsidP="009A7835">
            <w:pPr>
              <w:rPr>
                <w:rFonts w:ascii="Arial" w:hAnsi="Arial" w:cs="Arial"/>
                <w:sz w:val="20"/>
                <w:szCs w:val="20"/>
                <w:lang w:val="en-US"/>
              </w:rPr>
            </w:pPr>
            <w:r w:rsidRPr="006E4D31">
              <w:rPr>
                <w:rFonts w:ascii="Arial" w:hAnsi="Arial" w:cs="Arial"/>
                <w:b/>
                <w:sz w:val="20"/>
                <w:szCs w:val="20"/>
                <w:lang w:val="en-US"/>
              </w:rPr>
              <w:t xml:space="preserve">None. </w:t>
            </w:r>
            <w:r w:rsidRPr="00E4534D">
              <w:rPr>
                <w:rFonts w:ascii="Arial" w:hAnsi="Arial" w:cs="Arial"/>
                <w:sz w:val="20"/>
                <w:szCs w:val="20"/>
                <w:lang w:val="en-US"/>
              </w:rPr>
              <w:t xml:space="preserve">Please refer to the “Cash </w:t>
            </w:r>
            <w:r w:rsidR="00F104E0">
              <w:rPr>
                <w:rFonts w:ascii="Arial" w:hAnsi="Arial" w:cs="Arial"/>
                <w:sz w:val="20"/>
                <w:szCs w:val="20"/>
                <w:lang w:val="en-US"/>
              </w:rPr>
              <w:t>V</w:t>
            </w:r>
            <w:r w:rsidRPr="00E4534D">
              <w:rPr>
                <w:rFonts w:ascii="Arial" w:hAnsi="Arial" w:cs="Arial"/>
                <w:sz w:val="20"/>
                <w:szCs w:val="20"/>
                <w:lang w:val="en-US"/>
              </w:rPr>
              <w:t xml:space="preserve">ouchers” section. </w:t>
            </w:r>
          </w:p>
        </w:tc>
      </w:tr>
      <w:tr w:rsidR="009A7835" w:rsidRPr="006E4D31" w14:paraId="03ED019C" w14:textId="77777777" w:rsidTr="00E4534D">
        <w:tc>
          <w:tcPr>
            <w:tcW w:w="0" w:type="auto"/>
          </w:tcPr>
          <w:p w14:paraId="005FB558" w14:textId="77777777" w:rsidR="009A7835" w:rsidRPr="00E4534D" w:rsidRDefault="009A7835" w:rsidP="009A7835">
            <w:pPr>
              <w:rPr>
                <w:rFonts w:ascii="Arial" w:hAnsi="Arial" w:cs="Arial"/>
                <w:sz w:val="20"/>
                <w:szCs w:val="20"/>
                <w:lang w:val="en-US"/>
              </w:rPr>
            </w:pPr>
            <w:r w:rsidRPr="00E4534D">
              <w:rPr>
                <w:rFonts w:ascii="Arial" w:hAnsi="Arial" w:cs="Arial"/>
                <w:szCs w:val="20"/>
                <w:lang w:val="en-US"/>
              </w:rPr>
              <w:t>Cash for Work</w:t>
            </w:r>
          </w:p>
        </w:tc>
        <w:tc>
          <w:tcPr>
            <w:tcW w:w="0" w:type="auto"/>
          </w:tcPr>
          <w:p w14:paraId="72BCA39E" w14:textId="77777777"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People </w:t>
            </w:r>
            <w:proofErr w:type="gramStart"/>
            <w:r w:rsidRPr="00E4534D">
              <w:rPr>
                <w:rFonts w:ascii="Arial" w:hAnsi="Arial" w:cs="Arial"/>
                <w:sz w:val="20"/>
                <w:szCs w:val="20"/>
                <w:lang w:val="en-US"/>
              </w:rPr>
              <w:t>are given</w:t>
            </w:r>
            <w:proofErr w:type="gramEnd"/>
            <w:r w:rsidRPr="00E4534D">
              <w:rPr>
                <w:rFonts w:ascii="Arial" w:hAnsi="Arial" w:cs="Arial"/>
                <w:sz w:val="20"/>
                <w:szCs w:val="20"/>
                <w:lang w:val="en-US"/>
              </w:rPr>
              <w:t xml:space="preserve"> money (in cash or vouchers) as a wage for work. </w:t>
            </w:r>
          </w:p>
          <w:p w14:paraId="49DDDC82" w14:textId="77777777" w:rsidR="009A7835" w:rsidRPr="00E4534D" w:rsidRDefault="009A7835" w:rsidP="009A7835">
            <w:pPr>
              <w:rPr>
                <w:rFonts w:ascii="Arial" w:hAnsi="Arial" w:cs="Arial"/>
                <w:sz w:val="20"/>
                <w:szCs w:val="20"/>
                <w:lang w:val="en-US"/>
              </w:rPr>
            </w:pPr>
          </w:p>
        </w:tc>
        <w:tc>
          <w:tcPr>
            <w:tcW w:w="0" w:type="auto"/>
          </w:tcPr>
          <w:p w14:paraId="5F61560B" w14:textId="2A097BBB"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In Ethiopia, DCA’s partner provided 90 days of </w:t>
            </w:r>
            <w:r w:rsidR="00F104E0">
              <w:rPr>
                <w:rFonts w:ascii="Arial" w:hAnsi="Arial" w:cs="Arial"/>
                <w:sz w:val="20"/>
                <w:szCs w:val="20"/>
                <w:lang w:val="en-US"/>
              </w:rPr>
              <w:t>C</w:t>
            </w:r>
            <w:r w:rsidRPr="00E4534D">
              <w:rPr>
                <w:rFonts w:ascii="Arial" w:hAnsi="Arial" w:cs="Arial"/>
                <w:sz w:val="20"/>
                <w:szCs w:val="20"/>
                <w:lang w:val="en-US"/>
              </w:rPr>
              <w:t>ash-for-</w:t>
            </w:r>
            <w:r w:rsidR="00F104E0">
              <w:rPr>
                <w:rFonts w:ascii="Arial" w:hAnsi="Arial" w:cs="Arial"/>
                <w:sz w:val="20"/>
                <w:szCs w:val="20"/>
                <w:lang w:val="en-US"/>
              </w:rPr>
              <w:t>W</w:t>
            </w:r>
            <w:r w:rsidRPr="00E4534D">
              <w:rPr>
                <w:rFonts w:ascii="Arial" w:hAnsi="Arial" w:cs="Arial"/>
                <w:sz w:val="20"/>
                <w:szCs w:val="20"/>
                <w:lang w:val="en-US"/>
              </w:rPr>
              <w:t>ork grants to more than 12,000 people affected by food insecurity and drought, thus enabling people to purchase food on the local markets.</w:t>
            </w:r>
          </w:p>
        </w:tc>
        <w:tc>
          <w:tcPr>
            <w:tcW w:w="0" w:type="auto"/>
          </w:tcPr>
          <w:p w14:paraId="342ED6A3" w14:textId="4B844B78" w:rsidR="009A7835" w:rsidRPr="00E4534D" w:rsidRDefault="009A7835" w:rsidP="009A7835">
            <w:pPr>
              <w:rPr>
                <w:rFonts w:ascii="Arial" w:hAnsi="Arial" w:cs="Arial"/>
                <w:sz w:val="20"/>
                <w:szCs w:val="20"/>
                <w:lang w:val="en-US"/>
              </w:rPr>
            </w:pPr>
            <w:r w:rsidRPr="006E4D31">
              <w:rPr>
                <w:rFonts w:ascii="Arial" w:hAnsi="Arial" w:cs="Arial"/>
                <w:b/>
                <w:sz w:val="20"/>
                <w:szCs w:val="20"/>
                <w:lang w:val="en-US"/>
              </w:rPr>
              <w:t>None.</w:t>
            </w:r>
            <w:r w:rsidRPr="00E4534D">
              <w:rPr>
                <w:rFonts w:ascii="Arial" w:hAnsi="Arial" w:cs="Arial"/>
                <w:sz w:val="20"/>
                <w:szCs w:val="20"/>
                <w:lang w:val="en-US"/>
              </w:rPr>
              <w:t xml:space="preserve"> Please refer to the “</w:t>
            </w:r>
            <w:r w:rsidR="00F104E0">
              <w:rPr>
                <w:rFonts w:ascii="Arial" w:hAnsi="Arial" w:cs="Arial"/>
                <w:sz w:val="20"/>
                <w:szCs w:val="20"/>
                <w:lang w:val="en-US"/>
              </w:rPr>
              <w:t>U</w:t>
            </w:r>
            <w:r w:rsidRPr="00E4534D">
              <w:rPr>
                <w:rFonts w:ascii="Arial" w:hAnsi="Arial" w:cs="Arial"/>
                <w:sz w:val="20"/>
                <w:szCs w:val="20"/>
                <w:lang w:val="en-US"/>
              </w:rPr>
              <w:t xml:space="preserve">nconditional </w:t>
            </w:r>
            <w:r w:rsidR="00F104E0">
              <w:rPr>
                <w:rFonts w:ascii="Arial" w:hAnsi="Arial" w:cs="Arial"/>
                <w:sz w:val="20"/>
                <w:szCs w:val="20"/>
                <w:lang w:val="en-US"/>
              </w:rPr>
              <w:t>C</w:t>
            </w:r>
            <w:r w:rsidRPr="00E4534D">
              <w:rPr>
                <w:rFonts w:ascii="Arial" w:hAnsi="Arial" w:cs="Arial"/>
                <w:sz w:val="20"/>
                <w:szCs w:val="20"/>
                <w:lang w:val="en-US"/>
              </w:rPr>
              <w:t>ash” section.</w:t>
            </w:r>
          </w:p>
        </w:tc>
      </w:tr>
      <w:tr w:rsidR="009A7835" w:rsidRPr="006E4D31" w14:paraId="0AA3E546" w14:textId="77777777" w:rsidTr="00D45FD5">
        <w:trPr>
          <w:trHeight w:val="1771"/>
        </w:trPr>
        <w:tc>
          <w:tcPr>
            <w:tcW w:w="0" w:type="auto"/>
          </w:tcPr>
          <w:p w14:paraId="366381B5" w14:textId="77777777" w:rsidR="009A7835" w:rsidRPr="00E4534D" w:rsidRDefault="009A7835" w:rsidP="009A7835">
            <w:pPr>
              <w:rPr>
                <w:rFonts w:ascii="Arial" w:hAnsi="Arial" w:cs="Arial"/>
                <w:sz w:val="20"/>
                <w:szCs w:val="20"/>
                <w:lang w:val="en-US"/>
              </w:rPr>
            </w:pPr>
            <w:r w:rsidRPr="00E4534D">
              <w:rPr>
                <w:rFonts w:ascii="Arial" w:hAnsi="Arial" w:cs="Arial"/>
                <w:szCs w:val="20"/>
                <w:lang w:val="en-US"/>
              </w:rPr>
              <w:t>Cash Voucher</w:t>
            </w:r>
          </w:p>
        </w:tc>
        <w:tc>
          <w:tcPr>
            <w:tcW w:w="0" w:type="auto"/>
          </w:tcPr>
          <w:p w14:paraId="2273D3E6" w14:textId="629CAA54"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A voucher that </w:t>
            </w:r>
            <w:proofErr w:type="gramStart"/>
            <w:r w:rsidRPr="00E4534D">
              <w:rPr>
                <w:rFonts w:ascii="Arial" w:hAnsi="Arial" w:cs="Arial"/>
                <w:sz w:val="20"/>
                <w:szCs w:val="20"/>
                <w:lang w:val="en-US"/>
              </w:rPr>
              <w:t>can be exchanged</w:t>
            </w:r>
            <w:proofErr w:type="gramEnd"/>
            <w:r w:rsidRPr="00E4534D">
              <w:rPr>
                <w:rFonts w:ascii="Arial" w:hAnsi="Arial" w:cs="Arial"/>
                <w:sz w:val="20"/>
                <w:szCs w:val="20"/>
                <w:lang w:val="en-US"/>
              </w:rPr>
              <w:t xml:space="preserve"> for a fixed value of goods (e.g. $15)</w:t>
            </w:r>
            <w:r w:rsidR="00F104E0">
              <w:rPr>
                <w:rFonts w:ascii="Arial" w:hAnsi="Arial" w:cs="Arial"/>
                <w:sz w:val="20"/>
                <w:szCs w:val="20"/>
                <w:lang w:val="en-US"/>
              </w:rPr>
              <w:t>.</w:t>
            </w:r>
            <w:r w:rsidRPr="00E4534D">
              <w:rPr>
                <w:rFonts w:ascii="Arial" w:hAnsi="Arial" w:cs="Arial"/>
                <w:sz w:val="20"/>
                <w:szCs w:val="20"/>
                <w:lang w:val="en-US"/>
              </w:rPr>
              <w:t xml:space="preserve"> </w:t>
            </w:r>
          </w:p>
        </w:tc>
        <w:tc>
          <w:tcPr>
            <w:tcW w:w="0" w:type="auto"/>
          </w:tcPr>
          <w:p w14:paraId="5094DB8C" w14:textId="2D502392"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The beneficiaries are free to choose between a mix of commodities and services from a list of pre-selected shops. E.g. food, non-food items, milling, healthcare.</w:t>
            </w:r>
          </w:p>
        </w:tc>
        <w:tc>
          <w:tcPr>
            <w:tcW w:w="0" w:type="auto"/>
          </w:tcPr>
          <w:p w14:paraId="79B75E27" w14:textId="6E68A2CD" w:rsidR="009A7835" w:rsidRPr="00E4534D" w:rsidRDefault="009A7835" w:rsidP="001C6BEF">
            <w:pPr>
              <w:rPr>
                <w:rFonts w:ascii="Arial" w:hAnsi="Arial" w:cs="Arial"/>
                <w:sz w:val="20"/>
                <w:szCs w:val="20"/>
                <w:lang w:val="en-US"/>
              </w:rPr>
            </w:pPr>
            <w:r w:rsidRPr="006E4D31">
              <w:rPr>
                <w:rFonts w:ascii="Arial" w:hAnsi="Arial" w:cs="Arial"/>
                <w:b/>
                <w:sz w:val="20"/>
                <w:szCs w:val="20"/>
                <w:lang w:val="en-US"/>
              </w:rPr>
              <w:t>None</w:t>
            </w:r>
            <w:r w:rsidRPr="00E4534D">
              <w:rPr>
                <w:rFonts w:ascii="Arial" w:hAnsi="Arial" w:cs="Arial"/>
                <w:sz w:val="20"/>
                <w:szCs w:val="20"/>
                <w:lang w:val="en-US"/>
              </w:rPr>
              <w:t xml:space="preserve">. A market assessment on current prices and availability of products </w:t>
            </w:r>
            <w:proofErr w:type="gramStart"/>
            <w:r w:rsidRPr="00E4534D">
              <w:rPr>
                <w:rFonts w:ascii="Arial" w:hAnsi="Arial" w:cs="Arial"/>
                <w:sz w:val="20"/>
                <w:szCs w:val="20"/>
                <w:lang w:val="en-US"/>
              </w:rPr>
              <w:t>shall be conducted</w:t>
            </w:r>
            <w:proofErr w:type="gramEnd"/>
            <w:r w:rsidRPr="00E4534D">
              <w:rPr>
                <w:rFonts w:ascii="Arial" w:hAnsi="Arial" w:cs="Arial"/>
                <w:sz w:val="20"/>
                <w:szCs w:val="20"/>
                <w:lang w:val="en-US"/>
              </w:rPr>
              <w:t xml:space="preserve"> and an agreement reached with selected shop owners. Price fluctuations and the quality of supplies shall be monitored during the implementation - however, </w:t>
            </w:r>
            <w:proofErr w:type="gramStart"/>
            <w:r w:rsidRPr="00E4534D">
              <w:rPr>
                <w:rFonts w:ascii="Arial" w:hAnsi="Arial" w:cs="Arial"/>
                <w:sz w:val="20"/>
                <w:szCs w:val="20"/>
                <w:lang w:val="en-US"/>
              </w:rPr>
              <w:t xml:space="preserve">these activities are </w:t>
            </w:r>
            <w:r w:rsidR="001C6BEF" w:rsidRPr="00E4534D">
              <w:rPr>
                <w:rFonts w:ascii="Arial" w:hAnsi="Arial" w:cs="Arial"/>
                <w:sz w:val="20"/>
                <w:szCs w:val="20"/>
                <w:lang w:val="en-US"/>
              </w:rPr>
              <w:t>not necessarily</w:t>
            </w:r>
            <w:r w:rsidRPr="00E4534D">
              <w:rPr>
                <w:rFonts w:ascii="Arial" w:hAnsi="Arial" w:cs="Arial"/>
                <w:sz w:val="20"/>
                <w:szCs w:val="20"/>
                <w:lang w:val="en-US"/>
              </w:rPr>
              <w:t xml:space="preserve"> carried out by a Procurement Officer</w:t>
            </w:r>
            <w:proofErr w:type="gramEnd"/>
            <w:r w:rsidRPr="00E4534D">
              <w:rPr>
                <w:rFonts w:ascii="Arial" w:hAnsi="Arial" w:cs="Arial"/>
                <w:sz w:val="20"/>
                <w:szCs w:val="20"/>
                <w:lang w:val="en-US"/>
              </w:rPr>
              <w:t>.</w:t>
            </w:r>
          </w:p>
        </w:tc>
      </w:tr>
      <w:tr w:rsidR="009A7835" w:rsidRPr="006E4D31" w14:paraId="6BBCA94B" w14:textId="77777777" w:rsidTr="00D45FD5">
        <w:trPr>
          <w:trHeight w:val="1683"/>
        </w:trPr>
        <w:tc>
          <w:tcPr>
            <w:tcW w:w="0" w:type="auto"/>
          </w:tcPr>
          <w:p w14:paraId="4C9F5F82" w14:textId="77777777" w:rsidR="009A7835" w:rsidRPr="00E4534D" w:rsidRDefault="009A7835" w:rsidP="009A7835">
            <w:pPr>
              <w:rPr>
                <w:rFonts w:ascii="Arial" w:hAnsi="Arial" w:cs="Arial"/>
                <w:sz w:val="20"/>
                <w:szCs w:val="20"/>
                <w:lang w:val="en-US"/>
              </w:rPr>
            </w:pPr>
            <w:r w:rsidRPr="00E4534D">
              <w:rPr>
                <w:rFonts w:ascii="Arial" w:hAnsi="Arial" w:cs="Arial"/>
                <w:szCs w:val="20"/>
                <w:lang w:val="en-US"/>
              </w:rPr>
              <w:t>Commodity and Service voucher</w:t>
            </w:r>
          </w:p>
        </w:tc>
        <w:tc>
          <w:tcPr>
            <w:tcW w:w="0" w:type="auto"/>
          </w:tcPr>
          <w:p w14:paraId="191FD718" w14:textId="53A329A1"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 xml:space="preserve">A voucher that </w:t>
            </w:r>
            <w:proofErr w:type="gramStart"/>
            <w:r w:rsidRPr="00E4534D">
              <w:rPr>
                <w:rFonts w:ascii="Arial" w:hAnsi="Arial" w:cs="Arial"/>
                <w:sz w:val="20"/>
                <w:szCs w:val="20"/>
                <w:lang w:val="en-US"/>
              </w:rPr>
              <w:t>can be exchanged</w:t>
            </w:r>
            <w:proofErr w:type="gramEnd"/>
            <w:r w:rsidRPr="00E4534D">
              <w:rPr>
                <w:rFonts w:ascii="Arial" w:hAnsi="Arial" w:cs="Arial"/>
                <w:sz w:val="20"/>
                <w:szCs w:val="20"/>
                <w:lang w:val="en-US"/>
              </w:rPr>
              <w:t xml:space="preserve"> for a fixed quantity of preselected commodities or services</w:t>
            </w:r>
            <w:r w:rsidR="00F104E0">
              <w:rPr>
                <w:rFonts w:ascii="Arial" w:hAnsi="Arial" w:cs="Arial"/>
                <w:sz w:val="20"/>
                <w:szCs w:val="20"/>
                <w:lang w:val="en-US"/>
              </w:rPr>
              <w:t>.</w:t>
            </w:r>
            <w:r w:rsidRPr="00E4534D">
              <w:rPr>
                <w:rFonts w:ascii="Arial" w:hAnsi="Arial" w:cs="Arial"/>
                <w:sz w:val="20"/>
                <w:szCs w:val="20"/>
                <w:lang w:val="en-US"/>
              </w:rPr>
              <w:t xml:space="preserve"> </w:t>
            </w:r>
          </w:p>
        </w:tc>
        <w:tc>
          <w:tcPr>
            <w:tcW w:w="0" w:type="auto"/>
          </w:tcPr>
          <w:p w14:paraId="758B7787" w14:textId="3F3A76CD" w:rsidR="009A7835" w:rsidRPr="00E4534D" w:rsidRDefault="009A7835" w:rsidP="009A7835">
            <w:pPr>
              <w:rPr>
                <w:rFonts w:ascii="Arial" w:hAnsi="Arial" w:cs="Arial"/>
                <w:sz w:val="20"/>
                <w:szCs w:val="20"/>
                <w:lang w:val="en-US"/>
              </w:rPr>
            </w:pPr>
            <w:r w:rsidRPr="00E4534D">
              <w:rPr>
                <w:rFonts w:ascii="Arial" w:hAnsi="Arial" w:cs="Arial"/>
                <w:sz w:val="20"/>
                <w:szCs w:val="20"/>
                <w:lang w:val="en-US"/>
              </w:rPr>
              <w:t>The beneficiaries are given vouchers for e.g. 5kg of maize</w:t>
            </w:r>
            <w:proofErr w:type="gramStart"/>
            <w:r w:rsidRPr="00E4534D">
              <w:rPr>
                <w:rFonts w:ascii="Arial" w:hAnsi="Arial" w:cs="Arial"/>
                <w:sz w:val="20"/>
                <w:szCs w:val="20"/>
                <w:lang w:val="en-US"/>
              </w:rPr>
              <w:t>;</w:t>
            </w:r>
            <w:proofErr w:type="gramEnd"/>
            <w:r w:rsidRPr="00E4534D">
              <w:rPr>
                <w:rFonts w:ascii="Arial" w:hAnsi="Arial" w:cs="Arial"/>
                <w:sz w:val="20"/>
                <w:szCs w:val="20"/>
                <w:lang w:val="en-US"/>
              </w:rPr>
              <w:t xml:space="preserve"> milling of 5 kg of maize. The beneficiaries may choose between a </w:t>
            </w:r>
            <w:proofErr w:type="gramStart"/>
            <w:r w:rsidRPr="00E4534D">
              <w:rPr>
                <w:rFonts w:ascii="Arial" w:hAnsi="Arial" w:cs="Arial"/>
                <w:sz w:val="20"/>
                <w:szCs w:val="20"/>
                <w:lang w:val="en-US"/>
              </w:rPr>
              <w:t>number</w:t>
            </w:r>
            <w:proofErr w:type="gramEnd"/>
            <w:r w:rsidRPr="00E4534D">
              <w:rPr>
                <w:rFonts w:ascii="Arial" w:hAnsi="Arial" w:cs="Arial"/>
                <w:sz w:val="20"/>
                <w:szCs w:val="20"/>
                <w:lang w:val="en-US"/>
              </w:rPr>
              <w:t xml:space="preserve"> of different shops.</w:t>
            </w:r>
          </w:p>
        </w:tc>
        <w:tc>
          <w:tcPr>
            <w:tcW w:w="0" w:type="auto"/>
          </w:tcPr>
          <w:p w14:paraId="02755EA6" w14:textId="138C0854" w:rsidR="009A7835" w:rsidRPr="00E4534D" w:rsidRDefault="009A7835" w:rsidP="009A7835">
            <w:pPr>
              <w:rPr>
                <w:rFonts w:ascii="Arial" w:hAnsi="Arial" w:cs="Arial"/>
                <w:sz w:val="20"/>
                <w:szCs w:val="20"/>
                <w:lang w:val="en-US"/>
              </w:rPr>
            </w:pPr>
            <w:r w:rsidRPr="006E4D31">
              <w:rPr>
                <w:rFonts w:ascii="Arial" w:hAnsi="Arial" w:cs="Arial"/>
                <w:b/>
                <w:sz w:val="20"/>
                <w:szCs w:val="20"/>
                <w:lang w:val="en-US"/>
              </w:rPr>
              <w:t>Yes.</w:t>
            </w:r>
            <w:r w:rsidRPr="00E4534D">
              <w:rPr>
                <w:rFonts w:ascii="Arial" w:hAnsi="Arial" w:cs="Arial"/>
                <w:sz w:val="20"/>
                <w:szCs w:val="20"/>
                <w:lang w:val="en-US"/>
              </w:rPr>
              <w:t xml:space="preserve"> The Procurement Officer (or the partner) conducts a market survey and identifies s</w:t>
            </w:r>
            <w:r w:rsidR="00D45FD5">
              <w:rPr>
                <w:rFonts w:ascii="Arial" w:hAnsi="Arial" w:cs="Arial"/>
                <w:sz w:val="20"/>
                <w:szCs w:val="20"/>
                <w:lang w:val="en-US"/>
              </w:rPr>
              <w:t>uitable suppliers. Procurement P</w:t>
            </w:r>
            <w:r w:rsidRPr="00E4534D">
              <w:rPr>
                <w:rFonts w:ascii="Arial" w:hAnsi="Arial" w:cs="Arial"/>
                <w:sz w:val="20"/>
                <w:szCs w:val="20"/>
                <w:lang w:val="en-US"/>
              </w:rPr>
              <w:t xml:space="preserve">rocedures </w:t>
            </w:r>
            <w:proofErr w:type="gramStart"/>
            <w:r w:rsidRPr="00E4534D">
              <w:rPr>
                <w:rFonts w:ascii="Arial" w:hAnsi="Arial" w:cs="Arial"/>
                <w:sz w:val="20"/>
                <w:szCs w:val="20"/>
                <w:lang w:val="en-US"/>
              </w:rPr>
              <w:t>are conducted</w:t>
            </w:r>
            <w:proofErr w:type="gramEnd"/>
            <w:r w:rsidRPr="00E4534D">
              <w:rPr>
                <w:rFonts w:ascii="Arial" w:hAnsi="Arial" w:cs="Arial"/>
                <w:sz w:val="20"/>
                <w:szCs w:val="20"/>
                <w:lang w:val="en-US"/>
              </w:rPr>
              <w:t xml:space="preserve"> according to the contract value. Contracts with a relevant number of contractors (business owners) that meet the technica</w:t>
            </w:r>
            <w:bookmarkStart w:id="0" w:name="_GoBack"/>
            <w:bookmarkEnd w:id="0"/>
            <w:r w:rsidRPr="00E4534D">
              <w:rPr>
                <w:rFonts w:ascii="Arial" w:hAnsi="Arial" w:cs="Arial"/>
                <w:sz w:val="20"/>
                <w:szCs w:val="20"/>
                <w:lang w:val="en-US"/>
              </w:rPr>
              <w:t xml:space="preserve">l specifications and offer the best price </w:t>
            </w:r>
            <w:proofErr w:type="gramStart"/>
            <w:r w:rsidRPr="00E4534D">
              <w:rPr>
                <w:rFonts w:ascii="Arial" w:hAnsi="Arial" w:cs="Arial"/>
                <w:sz w:val="20"/>
                <w:szCs w:val="20"/>
                <w:lang w:val="en-US"/>
              </w:rPr>
              <w:t>are signed</w:t>
            </w:r>
            <w:proofErr w:type="gramEnd"/>
            <w:r w:rsidRPr="00E4534D">
              <w:rPr>
                <w:rFonts w:ascii="Arial" w:hAnsi="Arial" w:cs="Arial"/>
                <w:sz w:val="20"/>
                <w:szCs w:val="20"/>
                <w:lang w:val="en-US"/>
              </w:rPr>
              <w:t xml:space="preserve">. </w:t>
            </w:r>
          </w:p>
        </w:tc>
      </w:tr>
    </w:tbl>
    <w:p w14:paraId="3FB79BC8" w14:textId="77777777" w:rsidR="00B32AFD" w:rsidRPr="00E4534D" w:rsidRDefault="00B32AFD">
      <w:pPr>
        <w:rPr>
          <w:rFonts w:ascii="Arial" w:hAnsi="Arial" w:cs="Arial"/>
          <w:sz w:val="20"/>
          <w:szCs w:val="20"/>
          <w:lang w:val="en-US"/>
        </w:rPr>
      </w:pPr>
    </w:p>
    <w:sectPr w:rsidR="00B32AFD" w:rsidRPr="00E4534D" w:rsidSect="00E4534D">
      <w:footerReference w:type="default" r:id="rId10"/>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919D" w14:textId="77777777" w:rsidR="00DD15D2" w:rsidRDefault="00DD15D2" w:rsidP="0022533B">
      <w:pPr>
        <w:spacing w:after="0" w:line="240" w:lineRule="auto"/>
      </w:pPr>
      <w:r>
        <w:separator/>
      </w:r>
    </w:p>
  </w:endnote>
  <w:endnote w:type="continuationSeparator" w:id="0">
    <w:p w14:paraId="0CD74FD6" w14:textId="77777777" w:rsidR="00DD15D2" w:rsidRDefault="00DD15D2" w:rsidP="0022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157655"/>
      <w:docPartObj>
        <w:docPartGallery w:val="Page Numbers (Bottom of Page)"/>
        <w:docPartUnique/>
      </w:docPartObj>
    </w:sdtPr>
    <w:sdtEndPr>
      <w:rPr>
        <w:noProof/>
      </w:rPr>
    </w:sdtEndPr>
    <w:sdtContent>
      <w:p w14:paraId="136584E5" w14:textId="387B3E5D" w:rsidR="00325D65" w:rsidRDefault="00325D65" w:rsidP="00325D65">
        <w:pPr>
          <w:pStyle w:val="Footer"/>
          <w:jc w:val="right"/>
          <w:rPr>
            <w:noProof/>
          </w:rPr>
        </w:pPr>
        <w:r>
          <w:t xml:space="preserve"> </w:t>
        </w:r>
        <w:r>
          <w:fldChar w:fldCharType="begin"/>
        </w:r>
        <w:r>
          <w:instrText xml:space="preserve"> PAGE   \* MERGEFORMAT </w:instrText>
        </w:r>
        <w:r>
          <w:fldChar w:fldCharType="separate"/>
        </w:r>
        <w:r w:rsidR="001D7078">
          <w:rPr>
            <w:noProof/>
          </w:rPr>
          <w:t>1</w:t>
        </w:r>
        <w:r>
          <w:rPr>
            <w:noProof/>
          </w:rPr>
          <w:fldChar w:fldCharType="end"/>
        </w:r>
        <w:r w:rsidR="00E7527C">
          <w:rPr>
            <w:noProof/>
          </w:rPr>
          <w:t xml:space="preserve"> </w:t>
        </w:r>
        <w:r>
          <w:rPr>
            <w:noProof/>
          </w:rPr>
          <w:t>/ 1</w:t>
        </w:r>
      </w:p>
    </w:sdtContent>
  </w:sdt>
  <w:p w14:paraId="27C384FE" w14:textId="77777777" w:rsidR="00325D65" w:rsidRDefault="00325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9CC18" w14:textId="77777777" w:rsidR="00DD15D2" w:rsidRDefault="00DD15D2" w:rsidP="0022533B">
      <w:pPr>
        <w:spacing w:after="0" w:line="240" w:lineRule="auto"/>
      </w:pPr>
      <w:r>
        <w:separator/>
      </w:r>
    </w:p>
  </w:footnote>
  <w:footnote w:type="continuationSeparator" w:id="0">
    <w:p w14:paraId="794CB262" w14:textId="77777777" w:rsidR="00DD15D2" w:rsidRDefault="00DD15D2" w:rsidP="00225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44"/>
    <w:rsid w:val="00041046"/>
    <w:rsid w:val="00066644"/>
    <w:rsid w:val="00134CDA"/>
    <w:rsid w:val="00146716"/>
    <w:rsid w:val="001C6BEF"/>
    <w:rsid w:val="001D3D21"/>
    <w:rsid w:val="001D7078"/>
    <w:rsid w:val="0022533B"/>
    <w:rsid w:val="00277EE6"/>
    <w:rsid w:val="002A2B3C"/>
    <w:rsid w:val="003109A5"/>
    <w:rsid w:val="00325D65"/>
    <w:rsid w:val="003616E9"/>
    <w:rsid w:val="0049360D"/>
    <w:rsid w:val="004D08F1"/>
    <w:rsid w:val="004D255C"/>
    <w:rsid w:val="004D6EB3"/>
    <w:rsid w:val="00533A5F"/>
    <w:rsid w:val="00570FC8"/>
    <w:rsid w:val="00581070"/>
    <w:rsid w:val="00605E4C"/>
    <w:rsid w:val="00621740"/>
    <w:rsid w:val="00621771"/>
    <w:rsid w:val="006922B5"/>
    <w:rsid w:val="006E4D31"/>
    <w:rsid w:val="006F76A1"/>
    <w:rsid w:val="007E2045"/>
    <w:rsid w:val="00812E41"/>
    <w:rsid w:val="008B62AF"/>
    <w:rsid w:val="009A7835"/>
    <w:rsid w:val="00A32700"/>
    <w:rsid w:val="00B32AFD"/>
    <w:rsid w:val="00B82577"/>
    <w:rsid w:val="00C45699"/>
    <w:rsid w:val="00CB73F9"/>
    <w:rsid w:val="00CE67FF"/>
    <w:rsid w:val="00D235F4"/>
    <w:rsid w:val="00D45FD5"/>
    <w:rsid w:val="00D67510"/>
    <w:rsid w:val="00D8477F"/>
    <w:rsid w:val="00DB1D03"/>
    <w:rsid w:val="00DD15D2"/>
    <w:rsid w:val="00E16049"/>
    <w:rsid w:val="00E32E17"/>
    <w:rsid w:val="00E4534D"/>
    <w:rsid w:val="00E7527C"/>
    <w:rsid w:val="00F104E0"/>
    <w:rsid w:val="00F72F78"/>
    <w:rsid w:val="00FB2737"/>
    <w:rsid w:val="00FD3714"/>
    <w:rsid w:val="00FF2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0B2"/>
  <w15:chartTrackingRefBased/>
  <w15:docId w15:val="{312679CE-67DC-435D-9B27-56FB59BB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510"/>
    <w:rPr>
      <w:sz w:val="16"/>
      <w:szCs w:val="16"/>
    </w:rPr>
  </w:style>
  <w:style w:type="paragraph" w:styleId="CommentText">
    <w:name w:val="annotation text"/>
    <w:basedOn w:val="Normal"/>
    <w:link w:val="CommentTextChar"/>
    <w:uiPriority w:val="99"/>
    <w:semiHidden/>
    <w:unhideWhenUsed/>
    <w:rsid w:val="00D67510"/>
    <w:pPr>
      <w:spacing w:line="240" w:lineRule="auto"/>
    </w:pPr>
    <w:rPr>
      <w:sz w:val="20"/>
      <w:szCs w:val="20"/>
    </w:rPr>
  </w:style>
  <w:style w:type="character" w:customStyle="1" w:styleId="CommentTextChar">
    <w:name w:val="Comment Text Char"/>
    <w:basedOn w:val="DefaultParagraphFont"/>
    <w:link w:val="CommentText"/>
    <w:uiPriority w:val="99"/>
    <w:semiHidden/>
    <w:rsid w:val="00D67510"/>
    <w:rPr>
      <w:sz w:val="20"/>
      <w:szCs w:val="20"/>
    </w:rPr>
  </w:style>
  <w:style w:type="paragraph" w:styleId="CommentSubject">
    <w:name w:val="annotation subject"/>
    <w:basedOn w:val="CommentText"/>
    <w:next w:val="CommentText"/>
    <w:link w:val="CommentSubjectChar"/>
    <w:uiPriority w:val="99"/>
    <w:semiHidden/>
    <w:unhideWhenUsed/>
    <w:rsid w:val="00D67510"/>
    <w:rPr>
      <w:b/>
      <w:bCs/>
    </w:rPr>
  </w:style>
  <w:style w:type="character" w:customStyle="1" w:styleId="CommentSubjectChar">
    <w:name w:val="Comment Subject Char"/>
    <w:basedOn w:val="CommentTextChar"/>
    <w:link w:val="CommentSubject"/>
    <w:uiPriority w:val="99"/>
    <w:semiHidden/>
    <w:rsid w:val="00D67510"/>
    <w:rPr>
      <w:b/>
      <w:bCs/>
      <w:sz w:val="20"/>
      <w:szCs w:val="20"/>
    </w:rPr>
  </w:style>
  <w:style w:type="paragraph" w:styleId="BalloonText">
    <w:name w:val="Balloon Text"/>
    <w:basedOn w:val="Normal"/>
    <w:link w:val="BalloonTextChar"/>
    <w:uiPriority w:val="99"/>
    <w:semiHidden/>
    <w:unhideWhenUsed/>
    <w:rsid w:val="00D67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10"/>
    <w:rPr>
      <w:rFonts w:ascii="Segoe UI" w:hAnsi="Segoe UI" w:cs="Segoe UI"/>
      <w:sz w:val="18"/>
      <w:szCs w:val="18"/>
    </w:rPr>
  </w:style>
  <w:style w:type="paragraph" w:styleId="Revision">
    <w:name w:val="Revision"/>
    <w:hidden/>
    <w:uiPriority w:val="99"/>
    <w:semiHidden/>
    <w:rsid w:val="006922B5"/>
    <w:pPr>
      <w:spacing w:after="0" w:line="240" w:lineRule="auto"/>
    </w:pPr>
  </w:style>
  <w:style w:type="paragraph" w:styleId="Header">
    <w:name w:val="header"/>
    <w:basedOn w:val="Normal"/>
    <w:link w:val="HeaderChar"/>
    <w:uiPriority w:val="99"/>
    <w:unhideWhenUsed/>
    <w:rsid w:val="002253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533B"/>
  </w:style>
  <w:style w:type="paragraph" w:styleId="Footer">
    <w:name w:val="footer"/>
    <w:basedOn w:val="Normal"/>
    <w:link w:val="FooterChar"/>
    <w:uiPriority w:val="99"/>
    <w:unhideWhenUsed/>
    <w:rsid w:val="002253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DCADOC-377-12972</_dlc_DocId>
    <_dlc_DocIdUrl xmlns="58d44a88-3d02-4645-84eb-7e8385246cec">
      <Url>https://intra.dca.dk/Units/fict/prolog/_layouts/DocIdRedir.aspx?ID=DCADOC-377-12972</Url>
      <Description>DCADOC-377-12972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FF812-ACE2-4847-8C2F-247556C6540A}">
  <ds:schemaRefs>
    <ds:schemaRef ds:uri="http://schemas.microsoft.com/sharepoint/events"/>
  </ds:schemaRefs>
</ds:datastoreItem>
</file>

<file path=customXml/itemProps2.xml><?xml version="1.0" encoding="utf-8"?>
<ds:datastoreItem xmlns:ds="http://schemas.openxmlformats.org/officeDocument/2006/customXml" ds:itemID="{2BF30D11-13DA-4FB7-8B71-8123B675136B}">
  <ds:schemaRefs>
    <ds:schemaRef ds:uri="http://schemas.microsoft.com/sharepoint/v3/contenttype/forms"/>
  </ds:schemaRefs>
</ds:datastoreItem>
</file>

<file path=customXml/itemProps3.xml><?xml version="1.0" encoding="utf-8"?>
<ds:datastoreItem xmlns:ds="http://schemas.openxmlformats.org/officeDocument/2006/customXml" ds:itemID="{31976E22-4D4B-465C-83F2-0BC1FAEC5BE9}">
  <ds:schemaRefs>
    <ds:schemaRef ds:uri="http://purl.org/dc/elements/1.1/"/>
    <ds:schemaRef ds:uri="http://schemas.microsoft.com/office/2006/documentManagement/types"/>
    <ds:schemaRef ds:uri="http://purl.org/dc/dcmitype/"/>
    <ds:schemaRef ds:uri="58d44a88-3d02-4645-84eb-7e8385246cec"/>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C7608A-868D-4991-B0E2-8ECBE919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376</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Piippola</dc:creator>
  <cp:keywords/>
  <dc:description/>
  <cp:lastModifiedBy>Krestina Africa</cp:lastModifiedBy>
  <cp:revision>11</cp:revision>
  <dcterms:created xsi:type="dcterms:W3CDTF">2015-11-02T10:08:00Z</dcterms:created>
  <dcterms:modified xsi:type="dcterms:W3CDTF">2016-03-18T11:14:00Z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0x01010045E8358252D6400EB1C231CCF7F3BC970069EBE2269A6A7846853FB6DFFAB71083</vt:lpwstr>
  </property>
  <property fmtid="{D5CDD505-2E9C-101B-9397-08002B2CF9AE}" pid="3" name="PortalKeyword">
    <vt:lpwstr/>
  </property>
  <property fmtid="{D5CDD505-2E9C-101B-9397-08002B2CF9AE}" pid="4" name="_dlc_DocIdItemGuid">
    <vt:lpwstr>4028dc41-da32-470c-985e-78f8b10df535</vt:lpwstr>
  </property>
</Properties>
</file>