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12" w:rsidRDefault="00974F12">
      <w:pPr>
        <w:rPr>
          <w:b/>
          <w:sz w:val="36"/>
          <w:szCs w:val="36"/>
        </w:rPr>
      </w:pPr>
      <w:r>
        <w:rPr>
          <w:noProof/>
          <w:lang w:val="en-GB" w:eastAsia="ko-KR"/>
        </w:rPr>
        <w:drawing>
          <wp:inline distT="0" distB="0" distL="0" distR="0" wp14:anchorId="246CC800" wp14:editId="7C417FAA">
            <wp:extent cx="1123950" cy="6286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B1099" w:rsidRPr="00974F12" w:rsidRDefault="00974F12">
      <w:pPr>
        <w:rPr>
          <w:b/>
          <w:sz w:val="36"/>
          <w:szCs w:val="36"/>
        </w:rPr>
      </w:pPr>
      <w:r>
        <w:rPr>
          <w:b/>
          <w:bCs/>
          <w:sz w:val="36"/>
          <w:szCs w:val="36"/>
          <w:lang w:val="fr"/>
        </w:rPr>
        <w:t>Annexe 6.04 Intensité des signaux</w:t>
      </w:r>
    </w:p>
    <w:p w:rsidR="008C72EF" w:rsidRDefault="008C72EF"/>
    <w:p w:rsidR="008C72EF" w:rsidRDefault="008C72EF"/>
    <w:p w:rsidR="008C72EF" w:rsidRDefault="008C72EF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3391"/>
        <w:gridCol w:w="4377"/>
        <w:gridCol w:w="6095"/>
      </w:tblGrid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56"/>
                <w:szCs w:val="56"/>
                <w:lang w:val="fr"/>
              </w:rPr>
              <w:t>Réponses numériques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56"/>
                <w:szCs w:val="56"/>
                <w:lang w:val="fr"/>
              </w:rPr>
              <w:t>Réponses verbales</w:t>
            </w:r>
          </w:p>
        </w:tc>
        <w:tc>
          <w:tcPr>
            <w:tcW w:w="6095" w:type="dxa"/>
          </w:tcPr>
          <w:p w:rsidR="005955F0" w:rsidRDefault="008C72EF" w:rsidP="00974F1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56"/>
                <w:szCs w:val="56"/>
                <w:lang w:val="fr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56"/>
                <w:szCs w:val="56"/>
                <w:lang w:val="fr"/>
              </w:rPr>
              <w:t>Intensité du signal/</w:t>
            </w:r>
          </w:p>
          <w:p w:rsidR="008C72EF" w:rsidRPr="005955F0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56"/>
                <w:szCs w:val="56"/>
                <w:lang w:val="fr"/>
              </w:rPr>
              <w:t>de la réception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1 sur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Illisible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Mauvais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2 sur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Occasionnel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Médiocre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3 sur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Difficile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Satisfaisant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4 sur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Lisible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Bon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5 sur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Parfait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 w:themeColor="text1"/>
                <w:sz w:val="56"/>
                <w:szCs w:val="56"/>
                <w:lang w:val="fr"/>
              </w:rPr>
              <w:t>Excellent</w:t>
            </w:r>
          </w:p>
        </w:tc>
      </w:tr>
    </w:tbl>
    <w:p w:rsidR="008C72EF" w:rsidRDefault="008C72EF">
      <w:bookmarkStart w:id="0" w:name="_GoBack"/>
      <w:bookmarkEnd w:id="0"/>
    </w:p>
    <w:sectPr w:rsidR="008C72EF" w:rsidSect="00974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EF"/>
    <w:rsid w:val="005955F0"/>
    <w:rsid w:val="008C72EF"/>
    <w:rsid w:val="00974F12"/>
    <w:rsid w:val="00B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2E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2E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7" ma:contentTypeDescription="Create a new document." ma:contentTypeScope="" ma:versionID="2877936485956f40eff99999fa3e11ef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a64b4d495a48ac0cb7ebf3ab6a70337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2FE0C-9D6F-46D4-A886-F7C6A32DB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EA966-D9C6-4D25-B4DE-2E155E887848}"/>
</file>

<file path=customXml/itemProps3.xml><?xml version="1.0" encoding="utf-8"?>
<ds:datastoreItem xmlns:ds="http://schemas.openxmlformats.org/officeDocument/2006/customXml" ds:itemID="{DB5AF65D-9B6F-49D5-91EA-F7EC95F00DB6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0EA7D7-34F7-4310-B99A-2DCEA569D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Aurelie Nouvel</cp:lastModifiedBy>
  <cp:revision>3</cp:revision>
  <dcterms:created xsi:type="dcterms:W3CDTF">2017-11-08T12:59:00Z</dcterms:created>
  <dcterms:modified xsi:type="dcterms:W3CDTF">2018-01-23T16:03:00Z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b5e36c04-989b-4302-aa08-8cc9080c9d76</vt:lpwstr>
  </property>
  <property fmtid="{D5CDD505-2E9C-101B-9397-08002B2CF9AE}" pid="3" name="ContentTypeId">
    <vt:lpwstr>0x01010050405D4EA0F13E44BF1089B4A66D19C3</vt:lpwstr>
  </property>
</Properties>
</file>